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ascii="宋体" w:hAnsi="宋体"/>
          <w:b/>
          <w:bCs/>
          <w:color w:val="auto"/>
          <w:sz w:val="44"/>
          <w:szCs w:val="44"/>
          <w:highlight w:val="none"/>
        </w:rPr>
      </w:pPr>
      <w:bookmarkStart w:id="30" w:name="_GoBack"/>
      <w:bookmarkEnd w:id="30"/>
    </w:p>
    <w:p>
      <w:pPr>
        <w:spacing w:line="360" w:lineRule="auto"/>
        <w:jc w:val="center"/>
        <w:rPr>
          <w:rFonts w:ascii="宋体" w:hAnsi="宋体"/>
          <w:b/>
          <w:bCs/>
          <w:color w:val="auto"/>
          <w:sz w:val="44"/>
          <w:szCs w:val="44"/>
          <w:highlight w:val="none"/>
        </w:rPr>
      </w:pPr>
    </w:p>
    <w:p>
      <w:pPr>
        <w:spacing w:line="360" w:lineRule="auto"/>
        <w:jc w:val="center"/>
        <w:rPr>
          <w:rFonts w:ascii="宋体" w:hAnsi="宋体"/>
          <w:b/>
          <w:bCs/>
          <w:color w:val="auto"/>
          <w:sz w:val="44"/>
          <w:szCs w:val="44"/>
          <w:highlight w:val="none"/>
        </w:rPr>
      </w:pPr>
      <w:r>
        <w:rPr>
          <w:rFonts w:hint="eastAsia" w:ascii="宋体" w:hAnsi="宋体" w:cs="宋体"/>
          <w:b/>
          <w:bCs/>
          <w:color w:val="auto"/>
          <w:sz w:val="44"/>
          <w:szCs w:val="44"/>
          <w:highlight w:val="none"/>
        </w:rPr>
        <w:t>绍兴市工程招标代理（造价咨询）</w:t>
      </w:r>
    </w:p>
    <w:p>
      <w:pPr>
        <w:spacing w:line="360" w:lineRule="auto"/>
        <w:jc w:val="center"/>
        <w:rPr>
          <w:rFonts w:ascii="宋体" w:hAnsi="宋体"/>
          <w:b/>
          <w:bCs/>
          <w:color w:val="auto"/>
          <w:sz w:val="44"/>
          <w:szCs w:val="44"/>
          <w:highlight w:val="none"/>
        </w:rPr>
      </w:pPr>
      <w:r>
        <w:rPr>
          <w:rFonts w:hint="eastAsia" w:ascii="宋体" w:hAnsi="宋体" w:cs="宋体"/>
          <w:b/>
          <w:bCs/>
          <w:color w:val="auto"/>
          <w:sz w:val="44"/>
          <w:szCs w:val="44"/>
          <w:highlight w:val="none"/>
        </w:rPr>
        <w:t>服务项目招标文件</w:t>
      </w:r>
    </w:p>
    <w:p>
      <w:pPr>
        <w:jc w:val="center"/>
        <w:rPr>
          <w:rFonts w:ascii="宋体" w:hAnsi="宋体"/>
          <w:b/>
          <w:bCs/>
          <w:color w:val="auto"/>
          <w:sz w:val="44"/>
          <w:szCs w:val="44"/>
          <w:highlight w:val="none"/>
        </w:rPr>
      </w:pPr>
    </w:p>
    <w:p>
      <w:pPr>
        <w:jc w:val="center"/>
        <w:rPr>
          <w:rFonts w:ascii="宋体" w:hAnsi="宋体"/>
          <w:b/>
          <w:bCs/>
          <w:color w:val="auto"/>
          <w:sz w:val="44"/>
          <w:szCs w:val="44"/>
          <w:highlight w:val="none"/>
        </w:rPr>
      </w:pPr>
    </w:p>
    <w:p>
      <w:pPr>
        <w:jc w:val="center"/>
        <w:rPr>
          <w:rFonts w:ascii="宋体" w:hAnsi="宋体"/>
          <w:b/>
          <w:bCs/>
          <w:color w:val="auto"/>
          <w:sz w:val="44"/>
          <w:szCs w:val="44"/>
          <w:highlight w:val="none"/>
        </w:rPr>
      </w:pPr>
      <w:r>
        <w:rPr>
          <w:rFonts w:hint="eastAsia" w:ascii="宋体" w:hAnsi="宋体" w:cs="宋体"/>
          <w:b/>
          <w:bCs/>
          <w:color w:val="auto"/>
          <w:sz w:val="44"/>
          <w:szCs w:val="44"/>
          <w:highlight w:val="none"/>
        </w:rPr>
        <w:t>（范本</w:t>
      </w:r>
      <w:r>
        <w:rPr>
          <w:rFonts w:ascii="宋体" w:hAnsi="宋体" w:cs="仿宋"/>
          <w:b/>
          <w:bCs/>
          <w:color w:val="auto"/>
          <w:sz w:val="44"/>
          <w:szCs w:val="44"/>
          <w:highlight w:val="none"/>
        </w:rPr>
        <w:t>201</w:t>
      </w:r>
      <w:r>
        <w:rPr>
          <w:rFonts w:hint="eastAsia" w:ascii="宋体" w:hAnsi="宋体" w:cs="仿宋"/>
          <w:b/>
          <w:bCs/>
          <w:color w:val="auto"/>
          <w:sz w:val="44"/>
          <w:szCs w:val="44"/>
          <w:highlight w:val="none"/>
        </w:rPr>
        <w:t>9</w:t>
      </w:r>
      <w:r>
        <w:rPr>
          <w:rFonts w:ascii="宋体" w:hAnsi="宋体" w:cs="仿宋"/>
          <w:b/>
          <w:bCs/>
          <w:color w:val="auto"/>
          <w:sz w:val="44"/>
          <w:szCs w:val="44"/>
          <w:highlight w:val="none"/>
        </w:rPr>
        <w:t>-1</w:t>
      </w:r>
      <w:r>
        <w:rPr>
          <w:rFonts w:hint="eastAsia" w:ascii="宋体" w:hAnsi="宋体" w:cs="宋体"/>
          <w:b/>
          <w:bCs/>
          <w:color w:val="auto"/>
          <w:sz w:val="44"/>
          <w:szCs w:val="44"/>
          <w:highlight w:val="none"/>
        </w:rPr>
        <w:t>）</w:t>
      </w:r>
    </w:p>
    <w:p>
      <w:pPr>
        <w:rPr>
          <w:rFonts w:ascii="宋体" w:hAnsi="宋体"/>
          <w:b/>
          <w:bCs/>
          <w:color w:val="auto"/>
          <w:sz w:val="44"/>
          <w:szCs w:val="44"/>
          <w:highlight w:val="none"/>
        </w:rPr>
      </w:pPr>
    </w:p>
    <w:p>
      <w:pPr>
        <w:rPr>
          <w:rFonts w:ascii="宋体" w:hAnsi="宋体"/>
          <w:b/>
          <w:bCs/>
          <w:color w:val="auto"/>
          <w:sz w:val="44"/>
          <w:szCs w:val="44"/>
          <w:highlight w:val="none"/>
        </w:rPr>
      </w:pPr>
    </w:p>
    <w:p>
      <w:pPr>
        <w:rPr>
          <w:rFonts w:ascii="宋体" w:hAnsi="宋体"/>
          <w:b/>
          <w:bCs/>
          <w:color w:val="auto"/>
          <w:sz w:val="44"/>
          <w:szCs w:val="44"/>
          <w:highlight w:val="none"/>
        </w:rPr>
      </w:pPr>
    </w:p>
    <w:p>
      <w:pPr>
        <w:rPr>
          <w:rFonts w:ascii="宋体" w:hAnsi="宋体"/>
          <w:b/>
          <w:bCs/>
          <w:color w:val="auto"/>
          <w:sz w:val="44"/>
          <w:szCs w:val="44"/>
          <w:highlight w:val="none"/>
        </w:rPr>
      </w:pPr>
    </w:p>
    <w:p>
      <w:pPr>
        <w:rPr>
          <w:rFonts w:ascii="宋体" w:hAnsi="宋体"/>
          <w:b/>
          <w:bCs/>
          <w:color w:val="auto"/>
          <w:sz w:val="44"/>
          <w:szCs w:val="44"/>
          <w:highlight w:val="none"/>
        </w:rPr>
      </w:pPr>
    </w:p>
    <w:p>
      <w:pPr>
        <w:rPr>
          <w:rFonts w:ascii="宋体" w:hAnsi="宋体" w:cs="宋体"/>
          <w:b/>
          <w:bCs/>
          <w:color w:val="auto"/>
          <w:sz w:val="44"/>
          <w:szCs w:val="44"/>
          <w:highlight w:val="none"/>
        </w:rPr>
      </w:pPr>
    </w:p>
    <w:p>
      <w:pPr>
        <w:rPr>
          <w:rFonts w:ascii="宋体" w:hAnsi="宋体"/>
          <w:b/>
          <w:bCs/>
          <w:color w:val="auto"/>
          <w:sz w:val="44"/>
          <w:szCs w:val="44"/>
          <w:highlight w:val="none"/>
        </w:rPr>
      </w:pPr>
    </w:p>
    <w:p>
      <w:pPr>
        <w:rPr>
          <w:rFonts w:ascii="宋体" w:hAnsi="宋体"/>
          <w:b/>
          <w:bCs/>
          <w:color w:val="auto"/>
          <w:sz w:val="44"/>
          <w:szCs w:val="44"/>
          <w:highlight w:val="none"/>
        </w:rPr>
      </w:pPr>
    </w:p>
    <w:p>
      <w:pPr>
        <w:jc w:val="center"/>
        <w:rPr>
          <w:rFonts w:ascii="宋体" w:hAnsi="宋体" w:cs="仿宋_GB2312"/>
          <w:b/>
          <w:bCs/>
          <w:color w:val="auto"/>
          <w:sz w:val="32"/>
          <w:szCs w:val="32"/>
          <w:highlight w:val="none"/>
        </w:rPr>
      </w:pPr>
    </w:p>
    <w:p>
      <w:pPr>
        <w:jc w:val="center"/>
        <w:rPr>
          <w:rFonts w:ascii="宋体" w:hAnsi="宋体" w:cs="仿宋_GB2312"/>
          <w:b/>
          <w:bCs/>
          <w:color w:val="auto"/>
          <w:sz w:val="32"/>
          <w:szCs w:val="32"/>
          <w:highlight w:val="none"/>
        </w:rPr>
      </w:pPr>
    </w:p>
    <w:p>
      <w:pPr>
        <w:jc w:val="center"/>
        <w:rPr>
          <w:rFonts w:ascii="宋体" w:hAnsi="宋体" w:cs="仿宋_GB2312"/>
          <w:b/>
          <w:bCs/>
          <w:color w:val="auto"/>
          <w:sz w:val="32"/>
          <w:szCs w:val="32"/>
          <w:highlight w:val="none"/>
        </w:rPr>
      </w:pPr>
    </w:p>
    <w:p>
      <w:pPr>
        <w:jc w:val="center"/>
        <w:rPr>
          <w:rFonts w:ascii="宋体" w:hAnsi="宋体"/>
          <w:b/>
          <w:bCs/>
          <w:color w:val="auto"/>
          <w:sz w:val="32"/>
          <w:szCs w:val="32"/>
          <w:highlight w:val="none"/>
        </w:rPr>
      </w:pPr>
      <w:r>
        <w:rPr>
          <w:rFonts w:hint="eastAsia" w:ascii="宋体" w:hAnsi="宋体" w:cs="仿宋_GB2312"/>
          <w:b/>
          <w:bCs/>
          <w:color w:val="auto"/>
          <w:sz w:val="32"/>
          <w:szCs w:val="32"/>
          <w:highlight w:val="none"/>
        </w:rPr>
        <w:t>绍兴市政务服务办公室制</w:t>
      </w:r>
    </w:p>
    <w:p>
      <w:pPr>
        <w:jc w:val="center"/>
        <w:rPr>
          <w:rFonts w:ascii="宋体" w:hAnsi="宋体"/>
          <w:color w:val="auto"/>
          <w:highlight w:val="none"/>
        </w:rPr>
        <w:sectPr>
          <w:headerReference r:id="rId7" w:type="first"/>
          <w:footerReference r:id="rId10" w:type="first"/>
          <w:headerReference r:id="rId5" w:type="default"/>
          <w:footerReference r:id="rId8" w:type="default"/>
          <w:headerReference r:id="rId6" w:type="even"/>
          <w:footerReference r:id="rId9" w:type="even"/>
          <w:pgSz w:w="11906" w:h="16838"/>
          <w:pgMar w:top="1418" w:right="1418" w:bottom="1418" w:left="1418" w:header="1021" w:footer="902" w:gutter="0"/>
          <w:cols w:space="425" w:num="1"/>
          <w:titlePg/>
          <w:docGrid w:type="lines" w:linePitch="312" w:charSpace="0"/>
        </w:sectPr>
      </w:pPr>
      <w:r>
        <w:rPr>
          <w:rFonts w:hint="eastAsia" w:ascii="宋体" w:hAnsi="宋体" w:cs="仿宋_GB2312"/>
          <w:b/>
          <w:bCs/>
          <w:color w:val="auto"/>
          <w:sz w:val="32"/>
          <w:szCs w:val="32"/>
          <w:highlight w:val="none"/>
        </w:rPr>
        <w:t>（</w:t>
      </w:r>
      <w:r>
        <w:rPr>
          <w:rFonts w:ascii="宋体" w:hAnsi="宋体" w:cs="仿宋_GB2312"/>
          <w:b/>
          <w:bCs/>
          <w:color w:val="auto"/>
          <w:sz w:val="32"/>
          <w:szCs w:val="32"/>
          <w:highlight w:val="none"/>
        </w:rPr>
        <w:t>201</w:t>
      </w:r>
      <w:r>
        <w:rPr>
          <w:rFonts w:hint="eastAsia" w:ascii="宋体" w:hAnsi="宋体" w:cs="仿宋_GB2312"/>
          <w:b/>
          <w:bCs/>
          <w:color w:val="auto"/>
          <w:sz w:val="32"/>
          <w:szCs w:val="32"/>
          <w:highlight w:val="none"/>
        </w:rPr>
        <w:t>9年）</w:t>
      </w:r>
    </w:p>
    <w:p>
      <w:pPr>
        <w:jc w:val="center"/>
        <w:rPr>
          <w:rFonts w:ascii="宋体" w:hAnsi="宋体" w:cs="宋体"/>
          <w:b/>
          <w:bCs/>
          <w:color w:val="auto"/>
          <w:sz w:val="32"/>
          <w:szCs w:val="32"/>
          <w:highlight w:val="none"/>
        </w:rPr>
      </w:pPr>
      <w:bookmarkStart w:id="0" w:name="OLE_LINK7"/>
      <w:r>
        <w:rPr>
          <w:rFonts w:hint="eastAsia" w:ascii="宋体" w:hAnsi="宋体" w:cs="宋体"/>
          <w:b/>
          <w:bCs/>
          <w:color w:val="auto"/>
          <w:sz w:val="32"/>
          <w:szCs w:val="32"/>
          <w:highlight w:val="none"/>
          <w:lang w:eastAsia="zh-CN"/>
        </w:rPr>
        <w:t>绍兴滨海新区配套人才房工程</w:t>
      </w:r>
      <w:r>
        <w:rPr>
          <w:rFonts w:hint="eastAsia" w:ascii="宋体" w:hAnsi="宋体" w:cs="宋体"/>
          <w:b/>
          <w:bCs/>
          <w:color w:val="auto"/>
          <w:sz w:val="32"/>
          <w:szCs w:val="32"/>
          <w:highlight w:val="none"/>
        </w:rPr>
        <w:t>招标代理（造价咨询）服务项目</w:t>
      </w:r>
      <w:bookmarkEnd w:id="0"/>
      <w:r>
        <w:rPr>
          <w:rFonts w:hint="eastAsia" w:ascii="宋体" w:hAnsi="宋体" w:cs="宋体"/>
          <w:b/>
          <w:bCs/>
          <w:color w:val="auto"/>
          <w:sz w:val="32"/>
          <w:szCs w:val="32"/>
          <w:highlight w:val="none"/>
        </w:rPr>
        <w:t>招标文件</w:t>
      </w:r>
    </w:p>
    <w:p>
      <w:pPr>
        <w:jc w:val="center"/>
        <w:rPr>
          <w:rFonts w:ascii="宋体" w:hAnsi="宋体"/>
          <w:color w:val="auto"/>
          <w:highlight w:val="none"/>
        </w:rPr>
      </w:pPr>
      <w:r>
        <w:rPr>
          <w:rFonts w:hint="eastAsia" w:ascii="宋体" w:hAnsi="宋体" w:cs="宋体"/>
          <w:bCs/>
          <w:color w:val="auto"/>
          <w:sz w:val="24"/>
          <w:szCs w:val="24"/>
          <w:highlight w:val="none"/>
        </w:rPr>
        <w:t>（招标编号：</w:t>
      </w:r>
      <w:r>
        <w:rPr>
          <w:rFonts w:hint="eastAsia" w:ascii="宋体" w:hAnsi="宋体" w:cs="宋体"/>
          <w:bCs/>
          <w:color w:val="auto"/>
          <w:sz w:val="24"/>
          <w:szCs w:val="24"/>
          <w:highlight w:val="none"/>
          <w:lang w:val="en-US" w:eastAsia="zh-CN"/>
        </w:rPr>
        <w:t>SBFZG2022024</w:t>
      </w:r>
      <w:r>
        <w:rPr>
          <w:rFonts w:hint="eastAsia" w:ascii="宋体" w:hAnsi="宋体" w:cs="宋体"/>
          <w:bCs/>
          <w:color w:val="auto"/>
          <w:sz w:val="24"/>
          <w:szCs w:val="24"/>
          <w:highlight w:val="none"/>
        </w:rPr>
        <w:t>）</w:t>
      </w:r>
    </w:p>
    <w:p>
      <w:pPr>
        <w:rPr>
          <w:rFonts w:ascii="宋体" w:hAnsi="宋体"/>
          <w:color w:val="auto"/>
          <w:highlight w:val="none"/>
        </w:rPr>
      </w:pPr>
    </w:p>
    <w:p>
      <w:pPr>
        <w:adjustRightInd w:val="0"/>
        <w:snapToGrid w:val="0"/>
        <w:spacing w:line="480" w:lineRule="auto"/>
        <w:ind w:left="525" w:leftChars="250"/>
        <w:jc w:val="left"/>
        <w:rPr>
          <w:rFonts w:ascii="宋体" w:hAnsi="宋体" w:cs="宋体"/>
          <w:color w:val="auto"/>
          <w:sz w:val="28"/>
          <w:szCs w:val="28"/>
          <w:highlight w:val="none"/>
          <w:u w:val="single"/>
        </w:rPr>
      </w:pPr>
      <w:r>
        <w:rPr>
          <w:rFonts w:hint="eastAsia" w:ascii="宋体" w:hAnsi="宋体" w:cs="宋体"/>
          <w:color w:val="auto"/>
          <w:sz w:val="28"/>
          <w:szCs w:val="28"/>
          <w:highlight w:val="none"/>
        </w:rPr>
        <w:t>招标人名称</w:t>
      </w:r>
      <w:r>
        <w:rPr>
          <w:rFonts w:ascii="宋体" w:hAnsi="宋体" w:cs="宋体"/>
          <w:color w:val="auto"/>
          <w:sz w:val="28"/>
          <w:szCs w:val="28"/>
          <w:highlight w:val="none"/>
        </w:rPr>
        <w:t>：</w:t>
      </w:r>
      <w:r>
        <w:rPr>
          <w:rFonts w:hint="eastAsia" w:ascii="宋体" w:hAnsi="宋体" w:cs="宋体"/>
          <w:color w:val="auto"/>
          <w:sz w:val="28"/>
          <w:szCs w:val="28"/>
          <w:highlight w:val="none"/>
          <w:u w:val="single"/>
        </w:rPr>
        <w:t>绍兴滨海新区</w:t>
      </w:r>
      <w:r>
        <w:rPr>
          <w:rFonts w:hint="eastAsia" w:ascii="宋体" w:hAnsi="宋体" w:cs="宋体"/>
          <w:color w:val="auto"/>
          <w:sz w:val="28"/>
          <w:szCs w:val="28"/>
          <w:highlight w:val="none"/>
          <w:u w:val="single"/>
          <w:lang w:eastAsia="zh-CN"/>
        </w:rPr>
        <w:t>沧海社区开发建设有限公司</w:t>
      </w:r>
      <w:r>
        <w:rPr>
          <w:rFonts w:ascii="宋体" w:hAnsi="宋体" w:cs="宋体"/>
          <w:color w:val="auto"/>
          <w:sz w:val="28"/>
          <w:szCs w:val="28"/>
          <w:highlight w:val="none"/>
          <w:u w:val="single"/>
        </w:rPr>
        <w:t>（盖章）</w:t>
      </w:r>
    </w:p>
    <w:p>
      <w:pPr>
        <w:adjustRightInd w:val="0"/>
        <w:snapToGrid w:val="0"/>
        <w:spacing w:line="480" w:lineRule="auto"/>
        <w:ind w:left="525" w:leftChars="250"/>
        <w:rPr>
          <w:rFonts w:ascii="宋体" w:hAnsi="宋体" w:cs="宋体"/>
          <w:color w:val="auto"/>
          <w:sz w:val="28"/>
          <w:szCs w:val="28"/>
          <w:highlight w:val="none"/>
        </w:rPr>
      </w:pPr>
      <w:r>
        <w:rPr>
          <w:rFonts w:hint="eastAsia" w:ascii="宋体" w:hAnsi="宋体" w:cs="宋体"/>
          <w:color w:val="auto"/>
          <w:sz w:val="28"/>
          <w:szCs w:val="28"/>
          <w:highlight w:val="none"/>
        </w:rPr>
        <w:t>招标人法人代表：</w:t>
      </w:r>
      <w:r>
        <w:rPr>
          <w:rFonts w:hint="eastAsia" w:ascii="宋体" w:hAnsi="宋体" w:cs="宋体"/>
          <w:color w:val="auto"/>
          <w:sz w:val="28"/>
          <w:szCs w:val="28"/>
          <w:highlight w:val="none"/>
          <w:u w:val="single"/>
        </w:rPr>
        <w:t xml:space="preserve">      /    </w:t>
      </w:r>
      <w:r>
        <w:rPr>
          <w:rFonts w:hint="eastAsia" w:ascii="宋体" w:hAnsi="宋体" w:cs="宋体"/>
          <w:color w:val="auto"/>
          <w:sz w:val="28"/>
          <w:szCs w:val="28"/>
          <w:highlight w:val="none"/>
        </w:rPr>
        <w:t>（签字或盖章）</w:t>
      </w:r>
    </w:p>
    <w:p>
      <w:pPr>
        <w:adjustRightInd w:val="0"/>
        <w:snapToGrid w:val="0"/>
        <w:spacing w:line="480" w:lineRule="auto"/>
        <w:ind w:left="525" w:leftChars="250"/>
        <w:rPr>
          <w:rFonts w:ascii="宋体" w:hAnsi="宋体" w:cs="宋体"/>
          <w:color w:val="auto"/>
          <w:sz w:val="28"/>
          <w:szCs w:val="28"/>
          <w:highlight w:val="none"/>
          <w:u w:val="single"/>
        </w:rPr>
      </w:pPr>
      <w:r>
        <w:rPr>
          <w:rFonts w:hint="eastAsia" w:ascii="宋体" w:hAnsi="宋体" w:cs="宋体"/>
          <w:color w:val="auto"/>
          <w:sz w:val="28"/>
          <w:szCs w:val="28"/>
          <w:highlight w:val="none"/>
        </w:rPr>
        <w:t>招标人地址：</w:t>
      </w:r>
      <w:r>
        <w:rPr>
          <w:rFonts w:hint="eastAsia" w:ascii="宋体" w:hAnsi="宋体" w:cs="宋体"/>
          <w:color w:val="auto"/>
          <w:sz w:val="28"/>
          <w:szCs w:val="28"/>
          <w:highlight w:val="none"/>
          <w:u w:val="single"/>
        </w:rPr>
        <w:t xml:space="preserve">绍兴滨海新区海滨大道299号-1  </w:t>
      </w:r>
    </w:p>
    <w:p>
      <w:pPr>
        <w:adjustRightInd w:val="0"/>
        <w:snapToGrid w:val="0"/>
        <w:spacing w:line="480" w:lineRule="auto"/>
        <w:ind w:left="525" w:leftChars="250"/>
        <w:rPr>
          <w:rFonts w:ascii="宋体" w:hAnsi="宋体" w:cs="宋体"/>
          <w:color w:val="auto"/>
          <w:sz w:val="28"/>
          <w:szCs w:val="28"/>
          <w:highlight w:val="none"/>
        </w:rPr>
      </w:pPr>
      <w:r>
        <w:rPr>
          <w:rFonts w:hint="eastAsia" w:ascii="宋体" w:hAnsi="宋体" w:cs="宋体"/>
          <w:color w:val="auto"/>
          <w:sz w:val="28"/>
          <w:szCs w:val="28"/>
          <w:highlight w:val="none"/>
        </w:rPr>
        <w:t xml:space="preserve">联系人：  </w:t>
      </w:r>
      <w:r>
        <w:rPr>
          <w:rFonts w:hint="eastAsia" w:ascii="宋体" w:hAnsi="宋体" w:cs="宋体"/>
          <w:color w:val="auto"/>
          <w:sz w:val="28"/>
          <w:szCs w:val="28"/>
          <w:highlight w:val="none"/>
          <w:u w:val="single"/>
          <w:lang w:val="en-US" w:eastAsia="zh-CN"/>
        </w:rPr>
        <w:t>沈</w:t>
      </w:r>
      <w:r>
        <w:rPr>
          <w:rFonts w:hint="eastAsia" w:ascii="宋体" w:hAnsi="宋体" w:cs="宋体"/>
          <w:color w:val="auto"/>
          <w:sz w:val="28"/>
          <w:szCs w:val="28"/>
          <w:highlight w:val="none"/>
          <w:u w:val="single"/>
        </w:rPr>
        <w:t>工</w:t>
      </w:r>
      <w:r>
        <w:rPr>
          <w:rFonts w:hint="eastAsia" w:ascii="宋体" w:hAnsi="宋体" w:cs="宋体"/>
          <w:color w:val="auto"/>
          <w:sz w:val="28"/>
          <w:szCs w:val="28"/>
          <w:highlight w:val="none"/>
        </w:rPr>
        <w:t xml:space="preserve">  传   真：</w:t>
      </w:r>
      <w:r>
        <w:rPr>
          <w:rFonts w:hint="eastAsia" w:ascii="宋体" w:hAnsi="宋体" w:cs="宋体"/>
          <w:color w:val="auto"/>
          <w:sz w:val="28"/>
          <w:szCs w:val="28"/>
          <w:highlight w:val="none"/>
          <w:u w:val="single"/>
        </w:rPr>
        <w:t xml:space="preserve">     /       </w:t>
      </w:r>
    </w:p>
    <w:p>
      <w:pPr>
        <w:adjustRightInd w:val="0"/>
        <w:snapToGrid w:val="0"/>
        <w:spacing w:line="480" w:lineRule="auto"/>
        <w:ind w:left="525" w:leftChars="250"/>
        <w:rPr>
          <w:rFonts w:ascii="宋体" w:hAnsi="宋体" w:cs="宋体"/>
          <w:color w:val="auto"/>
          <w:sz w:val="28"/>
          <w:szCs w:val="28"/>
          <w:highlight w:val="none"/>
        </w:rPr>
      </w:pPr>
      <w:r>
        <w:rPr>
          <w:rFonts w:hint="eastAsia" w:ascii="宋体" w:hAnsi="宋体" w:cs="宋体"/>
          <w:color w:val="auto"/>
          <w:sz w:val="28"/>
          <w:szCs w:val="28"/>
          <w:highlight w:val="none"/>
        </w:rPr>
        <w:t>联系电话：</w:t>
      </w:r>
      <w:r>
        <w:rPr>
          <w:rFonts w:hint="eastAsia" w:ascii="宋体" w:hAnsi="宋体" w:cs="宋体"/>
          <w:color w:val="auto"/>
          <w:sz w:val="28"/>
          <w:szCs w:val="28"/>
          <w:highlight w:val="none"/>
          <w:u w:val="single"/>
        </w:rPr>
        <w:t xml:space="preserve">0575-89198056 </w:t>
      </w:r>
    </w:p>
    <w:p>
      <w:pPr>
        <w:adjustRightInd w:val="0"/>
        <w:snapToGrid w:val="0"/>
        <w:spacing w:line="480" w:lineRule="auto"/>
        <w:ind w:left="525" w:leftChars="250"/>
        <w:rPr>
          <w:rFonts w:ascii="宋体" w:hAnsi="宋体" w:cs="宋体"/>
          <w:color w:val="auto"/>
          <w:sz w:val="28"/>
          <w:szCs w:val="28"/>
          <w:highlight w:val="none"/>
        </w:rPr>
      </w:pPr>
    </w:p>
    <w:p>
      <w:pPr>
        <w:adjustRightInd w:val="0"/>
        <w:snapToGrid w:val="0"/>
        <w:spacing w:line="480" w:lineRule="auto"/>
        <w:ind w:left="525" w:leftChars="250"/>
        <w:rPr>
          <w:rFonts w:ascii="宋体" w:hAnsi="宋体" w:cs="宋体"/>
          <w:color w:val="auto"/>
          <w:sz w:val="28"/>
          <w:szCs w:val="28"/>
          <w:highlight w:val="none"/>
        </w:rPr>
      </w:pPr>
      <w:r>
        <w:rPr>
          <w:rFonts w:hint="eastAsia" w:ascii="宋体" w:hAnsi="宋体" w:cs="宋体"/>
          <w:color w:val="auto"/>
          <w:sz w:val="28"/>
          <w:szCs w:val="28"/>
          <w:highlight w:val="none"/>
        </w:rPr>
        <w:t xml:space="preserve">招标代理机构： </w:t>
      </w:r>
      <w:r>
        <w:rPr>
          <w:rFonts w:hint="eastAsia" w:ascii="宋体" w:hAnsi="宋体" w:cs="宋体"/>
          <w:color w:val="auto"/>
          <w:sz w:val="28"/>
          <w:szCs w:val="28"/>
          <w:highlight w:val="none"/>
          <w:u w:val="single"/>
        </w:rPr>
        <w:t>浙江</w:t>
      </w:r>
      <w:r>
        <w:rPr>
          <w:rFonts w:hint="eastAsia" w:ascii="宋体" w:hAnsi="宋体" w:cs="宋体"/>
          <w:color w:val="auto"/>
          <w:sz w:val="28"/>
          <w:szCs w:val="28"/>
          <w:highlight w:val="none"/>
          <w:u w:val="single"/>
          <w:lang w:val="en-US" w:eastAsia="zh-CN"/>
        </w:rPr>
        <w:t>耀信工程咨询</w:t>
      </w:r>
      <w:r>
        <w:rPr>
          <w:rFonts w:hint="eastAsia" w:ascii="宋体" w:hAnsi="宋体" w:cs="宋体"/>
          <w:color w:val="auto"/>
          <w:sz w:val="28"/>
          <w:szCs w:val="28"/>
          <w:highlight w:val="none"/>
          <w:u w:val="single"/>
        </w:rPr>
        <w:t>有限公司</w:t>
      </w:r>
      <w:r>
        <w:rPr>
          <w:rFonts w:hint="eastAsia" w:ascii="宋体" w:hAnsi="宋体" w:cs="宋体"/>
          <w:color w:val="auto"/>
          <w:sz w:val="28"/>
          <w:szCs w:val="28"/>
          <w:highlight w:val="none"/>
        </w:rPr>
        <w:t>（盖章）</w:t>
      </w:r>
    </w:p>
    <w:p>
      <w:pPr>
        <w:adjustRightInd w:val="0"/>
        <w:snapToGrid w:val="0"/>
        <w:spacing w:line="480" w:lineRule="auto"/>
        <w:ind w:left="525" w:leftChars="250"/>
        <w:rPr>
          <w:rFonts w:ascii="宋体" w:hAnsi="宋体" w:cs="宋体"/>
          <w:color w:val="auto"/>
          <w:sz w:val="28"/>
          <w:szCs w:val="28"/>
          <w:highlight w:val="none"/>
        </w:rPr>
      </w:pPr>
      <w:r>
        <w:rPr>
          <w:rFonts w:hint="eastAsia" w:ascii="宋体" w:hAnsi="宋体" w:cs="宋体"/>
          <w:color w:val="auto"/>
          <w:sz w:val="28"/>
          <w:szCs w:val="28"/>
          <w:highlight w:val="none"/>
        </w:rPr>
        <w:t>代理机构法人代表：</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u w:val="single"/>
          <w:lang w:val="en-US" w:eastAsia="zh-CN"/>
        </w:rPr>
        <w:t>蒋磊</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（签字或盖章）</w:t>
      </w:r>
    </w:p>
    <w:p>
      <w:pPr>
        <w:adjustRightInd w:val="0"/>
        <w:snapToGrid w:val="0"/>
        <w:spacing w:line="480" w:lineRule="auto"/>
        <w:ind w:left="525" w:leftChars="250"/>
        <w:rPr>
          <w:rFonts w:hint="default" w:ascii="宋体" w:hAnsi="宋体" w:cs="宋体" w:eastAsiaTheme="minorEastAsia"/>
          <w:color w:val="auto"/>
          <w:sz w:val="28"/>
          <w:szCs w:val="28"/>
          <w:highlight w:val="none"/>
          <w:u w:val="single"/>
          <w:lang w:val="en-US" w:eastAsia="zh-CN"/>
        </w:rPr>
      </w:pPr>
      <w:r>
        <w:rPr>
          <w:rFonts w:hint="eastAsia" w:ascii="宋体" w:hAnsi="宋体" w:cs="宋体"/>
          <w:color w:val="auto"/>
          <w:sz w:val="28"/>
          <w:szCs w:val="28"/>
          <w:highlight w:val="none"/>
        </w:rPr>
        <w:t>联系人：</w:t>
      </w:r>
      <w:r>
        <w:rPr>
          <w:rFonts w:hint="eastAsia" w:ascii="宋体" w:hAnsi="宋体" w:cs="宋体"/>
          <w:color w:val="auto"/>
          <w:sz w:val="28"/>
          <w:szCs w:val="28"/>
          <w:highlight w:val="none"/>
          <w:u w:val="single"/>
          <w:lang w:val="en-US" w:eastAsia="zh-CN"/>
        </w:rPr>
        <w:t>张金熠</w:t>
      </w:r>
      <w:r>
        <w:rPr>
          <w:rFonts w:hint="eastAsia" w:ascii="宋体" w:hAnsi="宋体" w:cs="宋体"/>
          <w:color w:val="auto"/>
          <w:sz w:val="28"/>
          <w:szCs w:val="28"/>
          <w:highlight w:val="none"/>
        </w:rPr>
        <w:t xml:space="preserve">    电 话：</w:t>
      </w:r>
      <w:r>
        <w:rPr>
          <w:rFonts w:hint="eastAsia" w:ascii="宋体" w:hAnsi="宋体" w:cs="宋体"/>
          <w:color w:val="auto"/>
          <w:sz w:val="28"/>
          <w:szCs w:val="28"/>
          <w:highlight w:val="none"/>
          <w:u w:val="single"/>
          <w:lang w:val="en-US" w:eastAsia="zh-CN"/>
        </w:rPr>
        <w:t>13006077816</w:t>
      </w:r>
    </w:p>
    <w:p>
      <w:pPr>
        <w:adjustRightInd w:val="0"/>
        <w:snapToGrid w:val="0"/>
        <w:spacing w:line="480" w:lineRule="auto"/>
        <w:ind w:left="525" w:leftChars="250"/>
        <w:rPr>
          <w:rFonts w:ascii="宋体" w:hAnsi="宋体" w:cs="宋体"/>
          <w:color w:val="auto"/>
          <w:sz w:val="28"/>
          <w:szCs w:val="28"/>
          <w:highlight w:val="none"/>
          <w:u w:val="single"/>
        </w:rPr>
      </w:pPr>
      <w:r>
        <w:rPr>
          <w:rFonts w:hint="eastAsia" w:ascii="宋体" w:hAnsi="宋体" w:cs="宋体"/>
          <w:color w:val="auto"/>
          <w:sz w:val="28"/>
          <w:szCs w:val="28"/>
          <w:highlight w:val="none"/>
        </w:rPr>
        <w:t>传 真：</w:t>
      </w:r>
      <w:r>
        <w:rPr>
          <w:rFonts w:hint="eastAsia" w:ascii="宋体" w:hAnsi="宋体" w:cs="宋体"/>
          <w:color w:val="auto"/>
          <w:sz w:val="28"/>
          <w:szCs w:val="28"/>
          <w:highlight w:val="none"/>
          <w:u w:val="single"/>
        </w:rPr>
        <w:t xml:space="preserve">    /    </w:t>
      </w:r>
    </w:p>
    <w:p>
      <w:pPr>
        <w:adjustRightInd w:val="0"/>
        <w:snapToGrid w:val="0"/>
        <w:spacing w:line="480" w:lineRule="auto"/>
        <w:ind w:left="525" w:leftChars="250"/>
        <w:rPr>
          <w:rFonts w:ascii="宋体" w:hAnsi="宋体" w:cs="宋体"/>
          <w:color w:val="auto"/>
          <w:sz w:val="28"/>
          <w:szCs w:val="28"/>
          <w:highlight w:val="none"/>
        </w:rPr>
      </w:pPr>
    </w:p>
    <w:p>
      <w:pPr>
        <w:adjustRightInd w:val="0"/>
        <w:snapToGrid w:val="0"/>
        <w:spacing w:line="480" w:lineRule="auto"/>
        <w:ind w:left="525" w:leftChars="250"/>
        <w:rPr>
          <w:rFonts w:ascii="宋体" w:hAnsi="宋体" w:cs="宋体"/>
          <w:color w:val="auto"/>
          <w:sz w:val="28"/>
          <w:szCs w:val="28"/>
          <w:highlight w:val="none"/>
        </w:rPr>
      </w:pPr>
    </w:p>
    <w:p>
      <w:pPr>
        <w:adjustRightInd w:val="0"/>
        <w:snapToGrid w:val="0"/>
        <w:spacing w:line="480" w:lineRule="auto"/>
        <w:ind w:left="525" w:leftChars="250"/>
        <w:rPr>
          <w:rFonts w:ascii="宋体" w:hAnsi="宋体" w:cs="宋体"/>
          <w:color w:val="auto"/>
          <w:sz w:val="28"/>
          <w:szCs w:val="28"/>
          <w:highlight w:val="none"/>
        </w:rPr>
      </w:pPr>
      <w:r>
        <w:rPr>
          <w:rFonts w:hint="eastAsia" w:ascii="宋体" w:hAnsi="宋体" w:cs="宋体"/>
          <w:color w:val="auto"/>
          <w:sz w:val="28"/>
          <w:szCs w:val="28"/>
          <w:highlight w:val="none"/>
        </w:rPr>
        <w:t>备案单位：</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（盖章）</w:t>
      </w:r>
    </w:p>
    <w:p>
      <w:pPr>
        <w:adjustRightInd w:val="0"/>
        <w:snapToGrid w:val="0"/>
        <w:spacing w:line="480" w:lineRule="auto"/>
        <w:ind w:left="525" w:leftChars="250"/>
        <w:rPr>
          <w:rFonts w:ascii="宋体" w:hAnsi="宋体" w:cs="宋体"/>
          <w:color w:val="auto"/>
          <w:sz w:val="28"/>
          <w:szCs w:val="28"/>
          <w:highlight w:val="none"/>
        </w:rPr>
      </w:pPr>
      <w:r>
        <w:rPr>
          <w:rFonts w:hint="eastAsia" w:ascii="宋体" w:hAnsi="宋体" w:cs="宋体"/>
          <w:color w:val="auto"/>
          <w:sz w:val="28"/>
          <w:szCs w:val="28"/>
          <w:highlight w:val="none"/>
        </w:rPr>
        <w:t>备案日期：</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年</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月</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日</w:t>
      </w:r>
    </w:p>
    <w:p>
      <w:pPr>
        <w:adjustRightInd w:val="0"/>
        <w:snapToGrid w:val="0"/>
        <w:spacing w:line="480" w:lineRule="auto"/>
        <w:ind w:left="525" w:leftChars="250"/>
        <w:rPr>
          <w:rFonts w:ascii="宋体" w:hAnsi="宋体" w:cs="宋体"/>
          <w:color w:val="auto"/>
          <w:sz w:val="28"/>
          <w:szCs w:val="28"/>
          <w:highlight w:val="none"/>
        </w:rPr>
      </w:pPr>
    </w:p>
    <w:p>
      <w:pPr>
        <w:adjustRightInd w:val="0"/>
        <w:snapToGrid w:val="0"/>
        <w:spacing w:line="480" w:lineRule="auto"/>
        <w:ind w:left="525" w:leftChars="250"/>
        <w:rPr>
          <w:rFonts w:ascii="宋体" w:hAnsi="宋体" w:cs="宋体"/>
          <w:color w:val="auto"/>
          <w:sz w:val="28"/>
          <w:szCs w:val="28"/>
          <w:highlight w:val="none"/>
        </w:rPr>
      </w:pPr>
    </w:p>
    <w:p>
      <w:pPr>
        <w:adjustRightInd w:val="0"/>
        <w:snapToGrid w:val="0"/>
        <w:spacing w:line="480" w:lineRule="auto"/>
        <w:ind w:left="525" w:leftChars="250"/>
        <w:rPr>
          <w:rFonts w:ascii="宋体" w:hAnsi="宋体" w:cs="宋体"/>
          <w:color w:val="auto"/>
          <w:sz w:val="28"/>
          <w:szCs w:val="28"/>
          <w:highlight w:val="none"/>
        </w:rPr>
      </w:pPr>
    </w:p>
    <w:p>
      <w:pPr>
        <w:jc w:val="center"/>
        <w:rPr>
          <w:rFonts w:ascii="宋体" w:hAnsi="宋体"/>
          <w:color w:val="auto"/>
          <w:highlight w:val="none"/>
        </w:rPr>
      </w:pPr>
      <w:r>
        <w:rPr>
          <w:rFonts w:hint="eastAsia" w:ascii="宋体" w:hAnsi="宋体" w:cs="宋体"/>
          <w:b/>
          <w:bCs/>
          <w:color w:val="auto"/>
          <w:sz w:val="30"/>
          <w:szCs w:val="30"/>
          <w:highlight w:val="none"/>
        </w:rPr>
        <w:t>第一章招标公告</w:t>
      </w:r>
    </w:p>
    <w:p>
      <w:pPr>
        <w:spacing w:line="360" w:lineRule="auto"/>
        <w:jc w:val="center"/>
        <w:rPr>
          <w:rFonts w:ascii="宋体" w:hAnsi="宋体" w:cs="宋体"/>
          <w:b/>
          <w:color w:val="auto"/>
          <w:sz w:val="24"/>
          <w:szCs w:val="24"/>
          <w:highlight w:val="none"/>
        </w:rPr>
      </w:pPr>
      <w:bookmarkStart w:id="1" w:name="OLE_LINK4"/>
      <w:bookmarkStart w:id="2" w:name="OLE_LINK3"/>
      <w:bookmarkStart w:id="3" w:name="OLE_LINK5"/>
      <w:bookmarkStart w:id="4" w:name="OLE_LINK2"/>
      <w:r>
        <w:rPr>
          <w:rFonts w:hint="eastAsia" w:ascii="宋体" w:hAnsi="宋体" w:cs="宋体"/>
          <w:b/>
          <w:color w:val="auto"/>
          <w:sz w:val="24"/>
          <w:szCs w:val="24"/>
          <w:highlight w:val="none"/>
          <w:u w:val="single"/>
          <w:lang w:eastAsia="zh-CN"/>
        </w:rPr>
        <w:t>绍兴滨海新区配套人才房工程</w:t>
      </w:r>
      <w:r>
        <w:rPr>
          <w:rFonts w:hint="eastAsia" w:ascii="宋体" w:hAnsi="宋体" w:cs="宋体"/>
          <w:b/>
          <w:color w:val="auto"/>
          <w:sz w:val="24"/>
          <w:szCs w:val="24"/>
          <w:highlight w:val="none"/>
          <w:u w:val="single"/>
        </w:rPr>
        <w:t>招标代理（造价咨询）服务项目</w:t>
      </w:r>
      <w:r>
        <w:rPr>
          <w:rFonts w:hint="eastAsia" w:ascii="宋体" w:hAnsi="宋体" w:cs="宋体"/>
          <w:b/>
          <w:color w:val="auto"/>
          <w:sz w:val="24"/>
          <w:szCs w:val="24"/>
          <w:highlight w:val="none"/>
        </w:rPr>
        <w:t>招标公告</w:t>
      </w:r>
    </w:p>
    <w:p>
      <w:pPr>
        <w:spacing w:line="360" w:lineRule="auto"/>
        <w:jc w:val="center"/>
        <w:rPr>
          <w:rFonts w:ascii="宋体" w:hAnsi="宋体" w:cs="宋体"/>
          <w:b/>
          <w:color w:val="auto"/>
          <w:sz w:val="24"/>
          <w:szCs w:val="24"/>
          <w:highlight w:val="none"/>
        </w:rPr>
      </w:pPr>
    </w:p>
    <w:p>
      <w:pPr>
        <w:widowControl/>
        <w:spacing w:line="360" w:lineRule="auto"/>
        <w:jc w:val="left"/>
        <w:rPr>
          <w:rFonts w:ascii="宋体" w:hAnsi="宋体" w:cs="??"/>
          <w:b/>
          <w:bCs/>
          <w:color w:val="auto"/>
          <w:kern w:val="0"/>
          <w:highlight w:val="none"/>
        </w:rPr>
      </w:pPr>
      <w:bookmarkStart w:id="5" w:name="_Toc351330861"/>
      <w:r>
        <w:rPr>
          <w:rFonts w:ascii="宋体" w:hAnsi="宋体" w:cs="??"/>
          <w:b/>
          <w:bCs/>
          <w:color w:val="auto"/>
          <w:kern w:val="44"/>
          <w:highlight w:val="none"/>
        </w:rPr>
        <w:t>1</w:t>
      </w:r>
      <w:r>
        <w:rPr>
          <w:rFonts w:hint="eastAsia" w:ascii="宋体" w:hAnsi="宋体" w:cs="宋体"/>
          <w:b/>
          <w:bCs/>
          <w:color w:val="auto"/>
          <w:kern w:val="44"/>
          <w:highlight w:val="none"/>
        </w:rPr>
        <w:t>．招标条件</w:t>
      </w:r>
      <w:bookmarkEnd w:id="5"/>
    </w:p>
    <w:p>
      <w:pPr>
        <w:keepNext w:val="0"/>
        <w:keepLines w:val="0"/>
        <w:widowControl/>
        <w:suppressLineNumbers w:val="0"/>
        <w:jc w:val="left"/>
        <w:rPr>
          <w:rFonts w:ascii="宋体" w:hAnsi="宋体" w:cs="??"/>
          <w:color w:val="auto"/>
          <w:kern w:val="0"/>
          <w:highlight w:val="none"/>
        </w:rPr>
      </w:pPr>
      <w:bookmarkStart w:id="6" w:name="_Toc351330862"/>
      <w:r>
        <w:rPr>
          <w:rFonts w:hint="eastAsia" w:ascii="宋体" w:hAnsi="宋体" w:cs="宋体"/>
          <w:color w:val="auto"/>
          <w:kern w:val="0"/>
          <w:highlight w:val="none"/>
        </w:rPr>
        <w:t>本招标项目</w:t>
      </w:r>
      <w:r>
        <w:rPr>
          <w:rFonts w:hint="eastAsia" w:ascii="宋体" w:hAnsi="宋体" w:cs="宋体"/>
          <w:color w:val="auto"/>
          <w:kern w:val="0"/>
          <w:highlight w:val="none"/>
          <w:u w:val="single"/>
          <w:lang w:eastAsia="zh-CN"/>
        </w:rPr>
        <w:t>绍兴滨海新区配套人才房工程</w:t>
      </w:r>
      <w:r>
        <w:rPr>
          <w:rFonts w:hint="eastAsia" w:ascii="宋体" w:hAnsi="宋体" w:cs="宋体"/>
          <w:color w:val="auto"/>
          <w:kern w:val="0"/>
          <w:highlight w:val="none"/>
          <w:u w:val="single"/>
        </w:rPr>
        <w:t>招标代理（造价咨询）服务项目</w:t>
      </w:r>
      <w:r>
        <w:rPr>
          <w:rFonts w:hint="eastAsia" w:ascii="宋体" w:hAnsi="宋体" w:cs="宋体"/>
          <w:color w:val="auto"/>
          <w:kern w:val="0"/>
          <w:highlight w:val="none"/>
        </w:rPr>
        <w:t>已由</w:t>
      </w:r>
      <w:r>
        <w:rPr>
          <w:rFonts w:hint="eastAsia" w:ascii="宋体" w:hAnsi="宋体" w:cs="宋体"/>
          <w:color w:val="auto"/>
          <w:kern w:val="0"/>
          <w:highlight w:val="none"/>
          <w:u w:val="single"/>
        </w:rPr>
        <w:t>滨海新区经济发展局</w:t>
      </w:r>
      <w:r>
        <w:rPr>
          <w:rFonts w:hint="eastAsia" w:ascii="宋体" w:hAnsi="宋体" w:cs="宋体"/>
          <w:color w:val="auto"/>
          <w:kern w:val="0"/>
          <w:highlight w:val="none"/>
        </w:rPr>
        <w:t>以</w:t>
      </w:r>
      <w:r>
        <w:rPr>
          <w:rFonts w:hint="eastAsia" w:ascii="宋体" w:hAnsi="宋体" w:cs="宋体"/>
          <w:color w:val="000000" w:themeColor="text1"/>
          <w:kern w:val="0"/>
          <w:highlight w:val="none"/>
          <w:u w:val="single"/>
          <w:lang w:val="en-US" w:eastAsia="zh-CN"/>
          <w14:textFill>
            <w14:solidFill>
              <w14:schemeClr w14:val="tx1"/>
            </w14:solidFill>
          </w14:textFill>
        </w:rPr>
        <w:t xml:space="preserve">2208-330691-04-01-255090 </w:t>
      </w:r>
      <w:r>
        <w:rPr>
          <w:rFonts w:hint="eastAsia" w:ascii="宋体" w:hAnsi="宋体" w:cs="宋体"/>
          <w:color w:val="auto"/>
          <w:kern w:val="0"/>
          <w:highlight w:val="none"/>
        </w:rPr>
        <w:t>批准建设，项目业主为</w:t>
      </w:r>
      <w:r>
        <w:rPr>
          <w:rFonts w:hint="eastAsia" w:ascii="宋体" w:hAnsi="宋体" w:cs="宋体"/>
          <w:color w:val="auto"/>
          <w:kern w:val="0"/>
          <w:highlight w:val="none"/>
          <w:u w:val="single"/>
        </w:rPr>
        <w:t>绍兴滨海新区</w:t>
      </w:r>
      <w:r>
        <w:rPr>
          <w:rFonts w:hint="eastAsia" w:ascii="宋体" w:hAnsi="宋体" w:cs="宋体"/>
          <w:color w:val="auto"/>
          <w:kern w:val="0"/>
          <w:highlight w:val="none"/>
          <w:u w:val="single"/>
          <w:lang w:eastAsia="zh-CN"/>
        </w:rPr>
        <w:t>沧海社区开发建设有限公司</w:t>
      </w:r>
      <w:r>
        <w:rPr>
          <w:rFonts w:hint="eastAsia" w:ascii="宋体" w:hAnsi="宋体" w:cs="宋体"/>
          <w:color w:val="auto"/>
          <w:kern w:val="0"/>
          <w:highlight w:val="none"/>
        </w:rPr>
        <w:t>，建设资金来自</w:t>
      </w:r>
      <w:r>
        <w:rPr>
          <w:rFonts w:hint="eastAsia" w:ascii="宋体" w:hAnsi="宋体" w:cs="宋体"/>
          <w:color w:val="auto"/>
          <w:kern w:val="0"/>
          <w:highlight w:val="none"/>
          <w:u w:val="single"/>
        </w:rPr>
        <w:t>自筹</w:t>
      </w:r>
      <w:r>
        <w:rPr>
          <w:rFonts w:hint="eastAsia" w:ascii="宋体" w:hAnsi="宋体" w:cs="宋体"/>
          <w:color w:val="auto"/>
          <w:kern w:val="0"/>
          <w:highlight w:val="none"/>
        </w:rPr>
        <w:t>（资金来源），项目出资比例为</w:t>
      </w:r>
      <w:r>
        <w:rPr>
          <w:rFonts w:hint="eastAsia" w:ascii="宋体" w:hAnsi="宋体" w:cs="??"/>
          <w:color w:val="auto"/>
          <w:kern w:val="0"/>
          <w:highlight w:val="none"/>
          <w:u w:val="single"/>
        </w:rPr>
        <w:t>100%</w:t>
      </w:r>
      <w:r>
        <w:rPr>
          <w:rFonts w:hint="eastAsia" w:ascii="宋体" w:hAnsi="宋体" w:cs="??"/>
          <w:color w:val="auto"/>
          <w:kern w:val="0"/>
          <w:highlight w:val="none"/>
        </w:rPr>
        <w:t>。项目已具备招标条件，现对该项目的招标代理（造价咨询）服务进行公开招标。</w:t>
      </w:r>
    </w:p>
    <w:p>
      <w:pPr>
        <w:widowControl/>
        <w:spacing w:line="360" w:lineRule="auto"/>
        <w:jc w:val="left"/>
        <w:outlineLvl w:val="0"/>
        <w:rPr>
          <w:rFonts w:ascii="宋体" w:hAnsi="宋体" w:cs="??"/>
          <w:b/>
          <w:bCs/>
          <w:color w:val="auto"/>
          <w:kern w:val="0"/>
          <w:highlight w:val="none"/>
        </w:rPr>
      </w:pPr>
      <w:r>
        <w:rPr>
          <w:rFonts w:ascii="宋体" w:hAnsi="宋体" w:cs="??"/>
          <w:b/>
          <w:bCs/>
          <w:color w:val="auto"/>
          <w:kern w:val="44"/>
          <w:highlight w:val="none"/>
        </w:rPr>
        <w:t>2</w:t>
      </w:r>
      <w:r>
        <w:rPr>
          <w:rFonts w:hint="eastAsia" w:ascii="宋体" w:hAnsi="宋体" w:cs="宋体"/>
          <w:b/>
          <w:bCs/>
          <w:color w:val="auto"/>
          <w:kern w:val="44"/>
          <w:highlight w:val="none"/>
        </w:rPr>
        <w:t>．项目概况与招标范围</w:t>
      </w:r>
      <w:bookmarkEnd w:id="6"/>
    </w:p>
    <w:p>
      <w:pPr>
        <w:widowControl/>
        <w:spacing w:line="360" w:lineRule="auto"/>
        <w:jc w:val="left"/>
        <w:outlineLvl w:val="0"/>
        <w:rPr>
          <w:rFonts w:hint="eastAsia" w:ascii="宋体" w:hAnsi="宋体" w:cs="宋体"/>
          <w:color w:val="auto"/>
          <w:kern w:val="0"/>
          <w:highlight w:val="none"/>
          <w:u w:val="single"/>
        </w:rPr>
      </w:pPr>
      <w:r>
        <w:rPr>
          <w:rFonts w:hint="eastAsia" w:ascii="宋体" w:hAnsi="宋体" w:cs="??"/>
          <w:color w:val="auto"/>
          <w:kern w:val="0"/>
          <w:highlight w:val="none"/>
        </w:rPr>
        <w:t>2.</w:t>
      </w:r>
      <w:r>
        <w:rPr>
          <w:rFonts w:ascii="宋体" w:hAnsi="宋体" w:cs="??"/>
          <w:color w:val="auto"/>
          <w:kern w:val="0"/>
          <w:highlight w:val="none"/>
        </w:rPr>
        <w:t>1</w:t>
      </w:r>
      <w:r>
        <w:rPr>
          <w:rFonts w:hint="eastAsia" w:ascii="宋体" w:hAnsi="宋体" w:cs="??"/>
          <w:color w:val="auto"/>
          <w:kern w:val="0"/>
          <w:highlight w:val="none"/>
        </w:rPr>
        <w:t>、</w:t>
      </w:r>
      <w:r>
        <w:rPr>
          <w:rFonts w:hint="eastAsia" w:ascii="宋体" w:hAnsi="宋体" w:cs="宋体"/>
          <w:color w:val="auto"/>
          <w:kern w:val="0"/>
          <w:highlight w:val="none"/>
        </w:rPr>
        <w:t>建设地点：</w:t>
      </w:r>
      <w:r>
        <w:rPr>
          <w:rFonts w:hint="eastAsia" w:ascii="宋体" w:hAnsi="宋体" w:cs="宋体"/>
          <w:color w:val="auto"/>
          <w:kern w:val="0"/>
          <w:highlight w:val="none"/>
          <w:u w:val="single"/>
        </w:rPr>
        <w:t>本工程位于绍兴滨海新区，东至马欢路，西至延德路，南至乾诚道，北至思诚道。</w:t>
      </w:r>
    </w:p>
    <w:p>
      <w:pPr>
        <w:widowControl/>
        <w:spacing w:line="360" w:lineRule="auto"/>
        <w:jc w:val="left"/>
        <w:rPr>
          <w:rFonts w:ascii="宋体" w:hAnsi="宋体" w:cs="??"/>
          <w:color w:val="000000" w:themeColor="text1"/>
          <w:kern w:val="0"/>
          <w:highlight w:val="none"/>
          <w:u w:val="single"/>
          <w14:textFill>
            <w14:solidFill>
              <w14:schemeClr w14:val="tx1"/>
            </w14:solidFill>
          </w14:textFill>
        </w:rPr>
      </w:pPr>
      <w:r>
        <w:rPr>
          <w:rFonts w:hint="eastAsia" w:ascii="宋体" w:hAnsi="宋体" w:cs="??"/>
          <w:color w:val="auto"/>
          <w:kern w:val="0"/>
          <w:highlight w:val="none"/>
        </w:rPr>
        <w:t>2.</w:t>
      </w:r>
      <w:r>
        <w:rPr>
          <w:rFonts w:ascii="宋体" w:hAnsi="宋体" w:cs="??"/>
          <w:color w:val="auto"/>
          <w:kern w:val="0"/>
          <w:highlight w:val="none"/>
        </w:rPr>
        <w:t>2</w:t>
      </w:r>
      <w:r>
        <w:rPr>
          <w:rFonts w:hint="eastAsia" w:ascii="宋体" w:hAnsi="宋体" w:cs="??"/>
          <w:color w:val="auto"/>
          <w:kern w:val="0"/>
          <w:highlight w:val="none"/>
        </w:rPr>
        <w:t>、建设规模：</w:t>
      </w:r>
      <w:r>
        <w:rPr>
          <w:rFonts w:hint="eastAsia" w:ascii="宋体" w:hAnsi="宋体" w:cs="宋体"/>
          <w:color w:val="auto"/>
          <w:kern w:val="0"/>
          <w:highlight w:val="none"/>
          <w:u w:val="single"/>
        </w:rPr>
        <w:t>绍兴滨海新区新选址建设人才房</w:t>
      </w:r>
      <w:r>
        <w:rPr>
          <w:rFonts w:hint="eastAsia" w:ascii="宋体" w:hAnsi="宋体" w:cs="宋体"/>
          <w:color w:val="auto"/>
          <w:kern w:val="0"/>
          <w:highlight w:val="none"/>
          <w:u w:val="single"/>
          <w:lang w:val="en-US" w:eastAsia="zh-CN"/>
        </w:rPr>
        <w:t>工程</w:t>
      </w:r>
      <w:r>
        <w:rPr>
          <w:rFonts w:hint="eastAsia" w:ascii="宋体" w:hAnsi="宋体" w:cs="宋体"/>
          <w:color w:val="auto"/>
          <w:kern w:val="0"/>
          <w:highlight w:val="none"/>
          <w:u w:val="single"/>
        </w:rPr>
        <w:t>，总用地面积约150亩，总建筑面积</w:t>
      </w:r>
      <w:r>
        <w:rPr>
          <w:rFonts w:hint="eastAsia" w:ascii="宋体" w:hAnsi="宋体" w:cs="宋体"/>
          <w:color w:val="000000" w:themeColor="text1"/>
          <w:kern w:val="0"/>
          <w:highlight w:val="none"/>
          <w:u w:val="single"/>
          <w14:textFill>
            <w14:solidFill>
              <w14:schemeClr w14:val="tx1"/>
            </w14:solidFill>
          </w14:textFill>
        </w:rPr>
        <w:t>约</w:t>
      </w:r>
      <w:r>
        <w:rPr>
          <w:rFonts w:hint="eastAsia" w:ascii="宋体" w:hAnsi="宋体" w:cs="宋体"/>
          <w:color w:val="000000" w:themeColor="text1"/>
          <w:kern w:val="0"/>
          <w:highlight w:val="none"/>
          <w:u w:val="single"/>
          <w:lang w:val="en-US" w:eastAsia="zh-CN"/>
          <w14:textFill>
            <w14:solidFill>
              <w14:schemeClr w14:val="tx1"/>
            </w14:solidFill>
          </w14:textFill>
        </w:rPr>
        <w:t>32.5</w:t>
      </w:r>
      <w:r>
        <w:rPr>
          <w:rFonts w:hint="eastAsia" w:ascii="宋体" w:hAnsi="宋体" w:cs="宋体"/>
          <w:color w:val="000000" w:themeColor="text1"/>
          <w:kern w:val="0"/>
          <w:highlight w:val="none"/>
          <w:u w:val="single"/>
          <w14:textFill>
            <w14:solidFill>
              <w14:schemeClr w14:val="tx1"/>
            </w14:solidFill>
          </w14:textFill>
        </w:rPr>
        <w:t>万平方米，其中地上建筑面积约2</w:t>
      </w:r>
      <w:r>
        <w:rPr>
          <w:rFonts w:hint="eastAsia" w:ascii="宋体" w:hAnsi="宋体" w:cs="宋体"/>
          <w:color w:val="000000" w:themeColor="text1"/>
          <w:kern w:val="0"/>
          <w:highlight w:val="none"/>
          <w:u w:val="single"/>
          <w:lang w:val="en-US" w:eastAsia="zh-CN"/>
          <w14:textFill>
            <w14:solidFill>
              <w14:schemeClr w14:val="tx1"/>
            </w14:solidFill>
          </w14:textFill>
        </w:rPr>
        <w:t>4.5</w:t>
      </w:r>
      <w:r>
        <w:rPr>
          <w:rFonts w:hint="eastAsia" w:ascii="宋体" w:hAnsi="宋体" w:cs="宋体"/>
          <w:color w:val="000000" w:themeColor="text1"/>
          <w:kern w:val="0"/>
          <w:highlight w:val="none"/>
          <w:u w:val="single"/>
          <w14:textFill>
            <w14:solidFill>
              <w14:schemeClr w14:val="tx1"/>
            </w14:solidFill>
          </w14:textFill>
        </w:rPr>
        <w:t>万</w:t>
      </w:r>
      <w:r>
        <w:rPr>
          <w:rFonts w:hint="eastAsia" w:ascii="宋体" w:hAnsi="宋体" w:cs="宋体"/>
          <w:color w:val="auto"/>
          <w:kern w:val="0"/>
          <w:highlight w:val="none"/>
          <w:u w:val="single"/>
        </w:rPr>
        <w:t>平方米，地下建筑</w:t>
      </w:r>
      <w:r>
        <w:rPr>
          <w:rFonts w:hint="eastAsia" w:ascii="宋体" w:hAnsi="宋体" w:cs="宋体"/>
          <w:color w:val="000000" w:themeColor="text1"/>
          <w:kern w:val="0"/>
          <w:highlight w:val="none"/>
          <w:u w:val="single"/>
          <w14:textFill>
            <w14:solidFill>
              <w14:schemeClr w14:val="tx1"/>
            </w14:solidFill>
          </w14:textFill>
        </w:rPr>
        <w:t>面积约</w:t>
      </w:r>
      <w:r>
        <w:rPr>
          <w:rFonts w:hint="eastAsia" w:ascii="宋体" w:hAnsi="宋体" w:cs="宋体"/>
          <w:color w:val="000000" w:themeColor="text1"/>
          <w:kern w:val="0"/>
          <w:highlight w:val="none"/>
          <w:u w:val="single"/>
          <w:lang w:val="en-US" w:eastAsia="zh-CN"/>
          <w14:textFill>
            <w14:solidFill>
              <w14:schemeClr w14:val="tx1"/>
            </w14:solidFill>
          </w14:textFill>
        </w:rPr>
        <w:t>8</w:t>
      </w:r>
      <w:r>
        <w:rPr>
          <w:rFonts w:hint="eastAsia" w:ascii="宋体" w:hAnsi="宋体" w:cs="宋体"/>
          <w:color w:val="000000" w:themeColor="text1"/>
          <w:kern w:val="0"/>
          <w:highlight w:val="none"/>
          <w:u w:val="single"/>
          <w14:textFill>
            <w14:solidFill>
              <w14:schemeClr w14:val="tx1"/>
            </w14:solidFill>
          </w14:textFill>
        </w:rPr>
        <w:t>万平方米，共计约1450套。项目建安费投资约183022.6万元。</w:t>
      </w:r>
    </w:p>
    <w:p>
      <w:pPr>
        <w:widowControl/>
        <w:spacing w:line="360" w:lineRule="auto"/>
        <w:jc w:val="left"/>
        <w:rPr>
          <w:rFonts w:ascii="宋体" w:hAnsi="宋体" w:cs="??"/>
          <w:color w:val="auto"/>
          <w:kern w:val="0"/>
          <w:highlight w:val="none"/>
        </w:rPr>
      </w:pPr>
      <w:r>
        <w:rPr>
          <w:rFonts w:ascii="宋体" w:hAnsi="宋体" w:cs="??"/>
          <w:color w:val="auto"/>
          <w:kern w:val="0"/>
          <w:highlight w:val="none"/>
        </w:rPr>
        <w:t>2.3</w:t>
      </w:r>
      <w:r>
        <w:rPr>
          <w:rFonts w:hint="eastAsia" w:ascii="宋体" w:hAnsi="宋体" w:cs="宋体"/>
          <w:color w:val="auto"/>
          <w:kern w:val="0"/>
          <w:highlight w:val="none"/>
        </w:rPr>
        <w:t>工程类别：</w:t>
      </w:r>
      <w:r>
        <w:rPr>
          <w:rFonts w:hint="eastAsia" w:ascii="宋体" w:hAnsi="宋体" w:cs="??"/>
          <w:color w:val="auto"/>
          <w:kern w:val="0"/>
          <w:highlight w:val="none"/>
          <w:u w:val="single"/>
        </w:rPr>
        <w:t>招标代理、标底编制</w:t>
      </w:r>
      <w:r>
        <w:rPr>
          <w:rFonts w:hint="eastAsia" w:ascii="宋体" w:hAnsi="宋体" w:cs="宋体"/>
          <w:color w:val="auto"/>
          <w:kern w:val="0"/>
          <w:highlight w:val="none"/>
        </w:rPr>
        <w:t>。</w:t>
      </w:r>
    </w:p>
    <w:p>
      <w:pPr>
        <w:widowControl/>
        <w:spacing w:line="360" w:lineRule="auto"/>
        <w:jc w:val="left"/>
        <w:rPr>
          <w:rFonts w:ascii="宋体" w:hAnsi="宋体" w:cs="??"/>
          <w:color w:val="auto"/>
          <w:kern w:val="0"/>
          <w:highlight w:val="none"/>
          <w:u w:val="single"/>
        </w:rPr>
      </w:pPr>
      <w:r>
        <w:rPr>
          <w:rFonts w:ascii="宋体" w:hAnsi="宋体" w:cs="??"/>
          <w:color w:val="auto"/>
          <w:kern w:val="0"/>
          <w:highlight w:val="none"/>
        </w:rPr>
        <w:t>2.4</w:t>
      </w:r>
      <w:r>
        <w:rPr>
          <w:rFonts w:hint="eastAsia" w:ascii="宋体" w:hAnsi="宋体" w:cs="宋体"/>
          <w:color w:val="auto"/>
          <w:kern w:val="0"/>
          <w:highlight w:val="none"/>
        </w:rPr>
        <w:t>招标</w:t>
      </w:r>
      <w:r>
        <w:rPr>
          <w:rFonts w:hint="eastAsia" w:ascii="宋体" w:hAnsi="宋体" w:cs="宋体"/>
          <w:color w:val="auto"/>
          <w:highlight w:val="none"/>
        </w:rPr>
        <w:t>代理（造价咨询）服务</w:t>
      </w:r>
      <w:r>
        <w:rPr>
          <w:rFonts w:hint="eastAsia" w:ascii="宋体" w:hAnsi="宋体" w:cs="宋体"/>
          <w:color w:val="auto"/>
          <w:kern w:val="0"/>
          <w:highlight w:val="none"/>
        </w:rPr>
        <w:t>招标范围：</w:t>
      </w:r>
      <w:r>
        <w:rPr>
          <w:rFonts w:hint="eastAsia" w:ascii="宋体" w:hAnsi="宋体" w:cs="??"/>
          <w:color w:val="auto"/>
          <w:kern w:val="0"/>
          <w:highlight w:val="none"/>
          <w:u w:val="single"/>
        </w:rPr>
        <w:t>（</w:t>
      </w:r>
      <w:r>
        <w:rPr>
          <w:rFonts w:hint="eastAsia" w:ascii="宋体" w:hAnsi="宋体" w:cs="宋体"/>
          <w:b/>
          <w:color w:val="auto"/>
          <w:kern w:val="0"/>
          <w:highlight w:val="none"/>
          <w:u w:val="single"/>
        </w:rPr>
        <w:t>本工程施工、监理、设备及大宗材料等采购及与本工程相关全部需招标项目的招标代理</w:t>
      </w:r>
      <w:r>
        <w:rPr>
          <w:rFonts w:hint="eastAsia" w:ascii="宋体" w:hAnsi="宋体" w:cs="宋体"/>
          <w:b/>
          <w:color w:val="auto"/>
          <w:kern w:val="0"/>
          <w:highlight w:val="none"/>
          <w:u w:val="single"/>
          <w:lang w:eastAsia="zh-CN"/>
        </w:rPr>
        <w:t>（</w:t>
      </w:r>
      <w:r>
        <w:rPr>
          <w:rFonts w:hint="eastAsia" w:ascii="宋体" w:hAnsi="宋体" w:cs="宋体"/>
          <w:b/>
          <w:color w:val="auto"/>
          <w:kern w:val="0"/>
          <w:highlight w:val="none"/>
          <w:u w:val="single"/>
          <w:lang w:val="en-US" w:eastAsia="zh-CN"/>
        </w:rPr>
        <w:t>包括标底审核、施工阶段全过程造价咨询等</w:t>
      </w:r>
      <w:r>
        <w:rPr>
          <w:rFonts w:hint="eastAsia" w:ascii="宋体" w:hAnsi="宋体" w:cs="宋体"/>
          <w:b/>
          <w:color w:val="auto"/>
          <w:kern w:val="0"/>
          <w:highlight w:val="none"/>
          <w:u w:val="single"/>
          <w:lang w:eastAsia="zh-CN"/>
        </w:rPr>
        <w:t>）</w:t>
      </w:r>
      <w:r>
        <w:rPr>
          <w:rFonts w:hint="eastAsia" w:ascii="宋体" w:hAnsi="宋体" w:cs="宋体"/>
          <w:b/>
          <w:color w:val="auto"/>
          <w:kern w:val="0"/>
          <w:highlight w:val="none"/>
          <w:u w:val="single"/>
        </w:rPr>
        <w:t>，工程量清单编制、招标控制价（参考标底）编制及施工阶段变更、工程量调整核算等服务</w:t>
      </w:r>
      <w:r>
        <w:rPr>
          <w:rFonts w:hint="eastAsia" w:ascii="宋体" w:hAnsi="宋体" w:cs="??"/>
          <w:color w:val="auto"/>
          <w:kern w:val="0"/>
          <w:highlight w:val="none"/>
          <w:u w:val="single"/>
        </w:rPr>
        <w:t>）。</w:t>
      </w:r>
    </w:p>
    <w:p>
      <w:pPr>
        <w:widowControl/>
        <w:spacing w:line="360" w:lineRule="auto"/>
        <w:jc w:val="left"/>
        <w:rPr>
          <w:rFonts w:ascii="宋体" w:hAnsi="宋体" w:cs="宋体"/>
          <w:color w:val="auto"/>
          <w:kern w:val="0"/>
          <w:highlight w:val="none"/>
        </w:rPr>
      </w:pPr>
      <w:r>
        <w:rPr>
          <w:rFonts w:ascii="宋体" w:hAnsi="宋体" w:cs="??"/>
          <w:color w:val="auto"/>
          <w:kern w:val="0"/>
          <w:highlight w:val="none"/>
        </w:rPr>
        <w:t>2.5</w:t>
      </w:r>
      <w:r>
        <w:rPr>
          <w:rFonts w:hint="eastAsia" w:ascii="宋体" w:hAnsi="宋体" w:cs="宋体"/>
          <w:color w:val="auto"/>
          <w:kern w:val="0"/>
          <w:highlight w:val="none"/>
        </w:rPr>
        <w:t>招标估算价：</w:t>
      </w:r>
      <w:r>
        <w:rPr>
          <w:rFonts w:hint="eastAsia" w:ascii="宋体" w:hAnsi="宋体" w:cs="宋体"/>
          <w:color w:val="auto"/>
          <w:kern w:val="0"/>
          <w:highlight w:val="none"/>
          <w:u w:val="single"/>
        </w:rPr>
        <w:t>约</w:t>
      </w:r>
      <w:r>
        <w:rPr>
          <w:rFonts w:hint="eastAsia" w:ascii="宋体" w:hAnsi="宋体" w:cs="??"/>
          <w:color w:val="auto"/>
          <w:kern w:val="0"/>
          <w:highlight w:val="none"/>
          <w:u w:val="single"/>
          <w:lang w:val="en-US" w:eastAsia="zh-CN"/>
        </w:rPr>
        <w:t>178.8233</w:t>
      </w:r>
      <w:r>
        <w:rPr>
          <w:rFonts w:hint="eastAsia" w:ascii="宋体" w:hAnsi="宋体" w:cs="宋体"/>
          <w:color w:val="000000" w:themeColor="text1"/>
          <w:kern w:val="0"/>
          <w:highlight w:val="none"/>
          <w14:textFill>
            <w14:solidFill>
              <w14:schemeClr w14:val="tx1"/>
            </w14:solidFill>
          </w14:textFill>
        </w:rPr>
        <w:t>万元</w:t>
      </w:r>
      <w:r>
        <w:rPr>
          <w:rFonts w:hint="eastAsia" w:ascii="宋体" w:hAnsi="宋体" w:cs="宋体"/>
          <w:color w:val="auto"/>
          <w:kern w:val="0"/>
          <w:highlight w:val="none"/>
        </w:rPr>
        <w:t>。</w:t>
      </w:r>
    </w:p>
    <w:p>
      <w:pPr>
        <w:widowControl/>
        <w:spacing w:line="360" w:lineRule="auto"/>
        <w:jc w:val="left"/>
        <w:rPr>
          <w:rFonts w:ascii="宋体" w:hAnsi="宋体" w:cs="宋体"/>
          <w:color w:val="auto"/>
          <w:kern w:val="0"/>
          <w:highlight w:val="none"/>
        </w:rPr>
      </w:pPr>
      <w:r>
        <w:rPr>
          <w:rFonts w:ascii="宋体" w:hAnsi="宋体" w:cs="??"/>
          <w:color w:val="auto"/>
          <w:kern w:val="0"/>
          <w:highlight w:val="none"/>
        </w:rPr>
        <w:t>2.6</w:t>
      </w:r>
      <w:r>
        <w:rPr>
          <w:rFonts w:hint="eastAsia" w:ascii="宋体" w:hAnsi="宋体" w:cs="宋体"/>
          <w:color w:val="auto"/>
          <w:kern w:val="0"/>
          <w:highlight w:val="none"/>
        </w:rPr>
        <w:t>咨询服务期：</w:t>
      </w:r>
      <w:r>
        <w:rPr>
          <w:rFonts w:hint="eastAsia" w:ascii="宋体" w:hAnsi="宋体"/>
          <w:b/>
          <w:color w:val="auto"/>
          <w:highlight w:val="none"/>
          <w:u w:val="single"/>
        </w:rPr>
        <w:t>/</w:t>
      </w:r>
      <w:r>
        <w:rPr>
          <w:rFonts w:hint="eastAsia" w:ascii="宋体" w:hAnsi="宋体"/>
          <w:color w:val="auto"/>
          <w:highlight w:val="none"/>
        </w:rPr>
        <w:t>。</w:t>
      </w:r>
    </w:p>
    <w:p>
      <w:pPr>
        <w:widowControl/>
        <w:spacing w:line="360" w:lineRule="auto"/>
        <w:jc w:val="left"/>
        <w:rPr>
          <w:rFonts w:ascii="宋体" w:hAnsi="宋体" w:cs="宋体"/>
          <w:color w:val="auto"/>
          <w:kern w:val="0"/>
          <w:highlight w:val="none"/>
          <w:u w:val="single"/>
        </w:rPr>
      </w:pPr>
      <w:r>
        <w:rPr>
          <w:rFonts w:ascii="宋体" w:hAnsi="宋体" w:cs="??"/>
          <w:color w:val="auto"/>
          <w:kern w:val="0"/>
          <w:highlight w:val="none"/>
        </w:rPr>
        <w:t>2.7</w:t>
      </w:r>
      <w:r>
        <w:rPr>
          <w:rFonts w:hint="eastAsia" w:ascii="宋体" w:hAnsi="宋体" w:cs="宋体"/>
          <w:color w:val="auto"/>
          <w:kern w:val="0"/>
          <w:highlight w:val="none"/>
        </w:rPr>
        <w:t>资格审查方式：</w:t>
      </w:r>
      <w:r>
        <w:rPr>
          <w:rFonts w:hint="eastAsia" w:ascii="宋体" w:hAnsi="宋体" w:cs="宋体"/>
          <w:color w:val="auto"/>
          <w:kern w:val="0"/>
          <w:highlight w:val="none"/>
          <w:u w:val="single"/>
        </w:rPr>
        <w:t>资格后审。</w:t>
      </w:r>
    </w:p>
    <w:p>
      <w:pPr>
        <w:widowControl/>
        <w:spacing w:line="360" w:lineRule="auto"/>
        <w:jc w:val="left"/>
        <w:rPr>
          <w:rFonts w:ascii="宋体" w:hAnsi="宋体" w:cs="宋体"/>
          <w:color w:val="auto"/>
          <w:kern w:val="0"/>
          <w:highlight w:val="none"/>
          <w:u w:val="single"/>
        </w:rPr>
      </w:pPr>
      <w:r>
        <w:rPr>
          <w:rFonts w:hint="eastAsia" w:ascii="宋体" w:hAnsi="宋体" w:cs="宋体"/>
          <w:color w:val="auto"/>
          <w:kern w:val="0"/>
          <w:highlight w:val="none"/>
        </w:rPr>
        <w:t>2.8服务质量：</w:t>
      </w:r>
      <w:r>
        <w:rPr>
          <w:rFonts w:hint="eastAsia" w:ascii="宋体" w:hAnsi="宋体" w:cs="宋体"/>
          <w:color w:val="auto"/>
          <w:kern w:val="0"/>
          <w:highlight w:val="none"/>
          <w:u w:val="single"/>
        </w:rPr>
        <w:t>优质服务</w:t>
      </w:r>
    </w:p>
    <w:p>
      <w:pPr>
        <w:widowControl/>
        <w:numPr>
          <w:ilvl w:val="0"/>
          <w:numId w:val="1"/>
        </w:numPr>
        <w:spacing w:line="360" w:lineRule="auto"/>
        <w:jc w:val="left"/>
        <w:rPr>
          <w:rFonts w:ascii="宋体" w:hAnsi="宋体" w:cs="宋体"/>
          <w:b/>
          <w:bCs/>
          <w:color w:val="auto"/>
          <w:kern w:val="0"/>
          <w:highlight w:val="none"/>
        </w:rPr>
      </w:pPr>
      <w:bookmarkStart w:id="7" w:name="_Toc351330863"/>
      <w:r>
        <w:rPr>
          <w:rFonts w:hint="eastAsia" w:ascii="宋体" w:hAnsi="宋体" w:cs="宋体"/>
          <w:b/>
          <w:bCs/>
          <w:color w:val="auto"/>
          <w:kern w:val="0"/>
          <w:highlight w:val="none"/>
        </w:rPr>
        <w:t>服务费报价及结算标准：</w:t>
      </w:r>
    </w:p>
    <w:p>
      <w:pPr>
        <w:widowControl/>
        <w:spacing w:line="360" w:lineRule="auto"/>
        <w:jc w:val="left"/>
        <w:rPr>
          <w:rFonts w:ascii="宋体" w:hAnsi="宋体"/>
          <w:color w:val="auto"/>
          <w:spacing w:val="-3"/>
          <w:highlight w:val="none"/>
        </w:rPr>
      </w:pPr>
      <w:r>
        <w:rPr>
          <w:rFonts w:hint="eastAsia" w:ascii="宋体" w:hAnsi="宋体"/>
          <w:color w:val="auto"/>
          <w:spacing w:val="-3"/>
          <w:highlight w:val="none"/>
        </w:rPr>
        <w:t>3.1服务费计费基数标准：</w:t>
      </w:r>
      <w:r>
        <w:rPr>
          <w:rFonts w:hint="eastAsia" w:ascii="宋体" w:hAnsi="宋体" w:cs="宋体"/>
          <w:color w:val="auto"/>
          <w:highlight w:val="none"/>
        </w:rPr>
        <w:t>招标代理服务费</w:t>
      </w:r>
      <w:r>
        <w:rPr>
          <w:rFonts w:hint="eastAsia" w:ascii="宋体" w:hAnsi="宋体"/>
          <w:color w:val="auto"/>
          <w:highlight w:val="none"/>
        </w:rPr>
        <w:t>以累计各标段施工中标价</w:t>
      </w:r>
      <w:r>
        <w:rPr>
          <w:rFonts w:hint="eastAsia" w:ascii="宋体" w:hAnsi="宋体" w:cs="宋体"/>
          <w:color w:val="auto"/>
          <w:highlight w:val="none"/>
        </w:rPr>
        <w:t>为基准计算</w:t>
      </w:r>
      <w:r>
        <w:rPr>
          <w:rFonts w:hint="eastAsia" w:ascii="宋体" w:hAnsi="宋体" w:cs="宋体"/>
          <w:color w:val="auto"/>
          <w:highlight w:val="none"/>
          <w:lang w:val="en-US" w:eastAsia="zh-CN"/>
        </w:rPr>
        <w:t>基数</w:t>
      </w:r>
      <w:r>
        <w:rPr>
          <w:rFonts w:hint="eastAsia" w:ascii="宋体" w:hAnsi="宋体" w:cs="宋体"/>
          <w:color w:val="auto"/>
          <w:highlight w:val="none"/>
        </w:rPr>
        <w:t>为准</w:t>
      </w:r>
      <w:r>
        <w:rPr>
          <w:rFonts w:ascii="宋体" w:hAnsi="宋体" w:cs="宋体"/>
          <w:color w:val="auto"/>
          <w:highlight w:val="none"/>
        </w:rPr>
        <w:t>,</w:t>
      </w:r>
      <w:r>
        <w:rPr>
          <w:rFonts w:hint="eastAsia" w:ascii="宋体" w:hAnsi="宋体" w:cs="宋体"/>
          <w:color w:val="auto"/>
          <w:highlight w:val="none"/>
        </w:rPr>
        <w:t>造价咨询服务费以审定后</w:t>
      </w:r>
      <w:r>
        <w:rPr>
          <w:rFonts w:hint="eastAsia" w:ascii="宋体" w:hAnsi="宋体" w:cs="宋体"/>
          <w:color w:val="auto"/>
          <w:highlight w:val="none"/>
          <w:lang w:val="en-US" w:eastAsia="zh-CN"/>
        </w:rPr>
        <w:t>的累计</w:t>
      </w:r>
      <w:r>
        <w:rPr>
          <w:rFonts w:hint="eastAsia" w:ascii="宋体" w:hAnsi="宋体" w:cs="宋体"/>
          <w:color w:val="auto"/>
          <w:highlight w:val="none"/>
        </w:rPr>
        <w:t>标底价为基准计算</w:t>
      </w:r>
      <w:r>
        <w:rPr>
          <w:rFonts w:hint="eastAsia" w:ascii="宋体" w:hAnsi="宋体" w:cs="宋体"/>
          <w:color w:val="auto"/>
          <w:highlight w:val="none"/>
          <w:lang w:val="en-US" w:eastAsia="zh-CN"/>
        </w:rPr>
        <w:t>基数</w:t>
      </w:r>
      <w:r>
        <w:rPr>
          <w:rFonts w:hint="eastAsia" w:ascii="宋体" w:hAnsi="宋体" w:cs="宋体"/>
          <w:color w:val="auto"/>
          <w:highlight w:val="none"/>
        </w:rPr>
        <w:t>为准(均不含预备费)。列入暂估价的工程、设备、材料部分另行招标的，不再另行列入招标代理服务费和造价咨询服务费的计费基数。监理</w:t>
      </w:r>
      <w:r>
        <w:rPr>
          <w:rFonts w:hint="eastAsia" w:ascii="宋体" w:hAnsi="宋体" w:cs="宋体"/>
          <w:color w:val="auto"/>
          <w:highlight w:val="none"/>
          <w:lang w:eastAsia="zh-CN"/>
        </w:rPr>
        <w:t>、</w:t>
      </w:r>
      <w:r>
        <w:rPr>
          <w:rFonts w:hint="eastAsia" w:ascii="宋体" w:hAnsi="宋体" w:cs="宋体"/>
          <w:b w:val="0"/>
          <w:bCs/>
          <w:i w:val="0"/>
          <w:iCs w:val="0"/>
          <w:color w:val="auto"/>
          <w:kern w:val="0"/>
          <w:highlight w:val="none"/>
          <w:u w:val="none"/>
          <w:lang w:val="en-US" w:eastAsia="zh-CN"/>
        </w:rPr>
        <w:t>标底审核、施工阶段全过程造价咨询</w:t>
      </w:r>
      <w:r>
        <w:rPr>
          <w:rFonts w:hint="eastAsia" w:ascii="宋体" w:hAnsi="宋体" w:cs="宋体"/>
          <w:color w:val="auto"/>
          <w:highlight w:val="none"/>
        </w:rPr>
        <w:t>等（如需进场招标）招标代理费用不再单独另行计取，设备及大宗材料等采购及与本工程相关全部需招标项目的招标代理费用不再单独另行计取。</w:t>
      </w:r>
      <w:r>
        <w:rPr>
          <w:rFonts w:hint="eastAsia" w:ascii="宋体" w:hAnsi="宋体" w:cs="Arial"/>
          <w:color w:val="auto"/>
          <w:highlight w:val="none"/>
        </w:rPr>
        <w:t>若项目招标失败，需要重新招标的，不再追加中介服务费。</w:t>
      </w:r>
    </w:p>
    <w:p>
      <w:pPr>
        <w:pStyle w:val="29"/>
        <w:tabs>
          <w:tab w:val="left" w:pos="1190"/>
        </w:tabs>
        <w:spacing w:line="360" w:lineRule="auto"/>
        <w:ind w:firstLine="0" w:firstLineChars="0"/>
        <w:rPr>
          <w:rFonts w:ascii="宋体" w:hAnsi="宋体"/>
          <w:color w:val="auto"/>
          <w:spacing w:val="-3"/>
          <w:highlight w:val="none"/>
        </w:rPr>
      </w:pPr>
      <w:r>
        <w:rPr>
          <w:rFonts w:hint="eastAsia" w:ascii="宋体" w:hAnsi="宋体"/>
          <w:color w:val="auto"/>
          <w:spacing w:val="-3"/>
          <w:highlight w:val="none"/>
        </w:rPr>
        <w:t>3.2</w:t>
      </w:r>
      <w:r>
        <w:rPr>
          <w:rFonts w:ascii="宋体" w:hAnsi="宋体"/>
          <w:color w:val="auto"/>
          <w:spacing w:val="-3"/>
          <w:highlight w:val="none"/>
        </w:rPr>
        <w:t>服务费收费标准：</w:t>
      </w:r>
      <w:r>
        <w:rPr>
          <w:rFonts w:hint="eastAsia" w:ascii="宋体" w:hAnsi="宋体" w:cs="宋体"/>
          <w:b w:val="0"/>
          <w:bCs w:val="0"/>
          <w:kern w:val="0"/>
          <w:highlight w:val="none"/>
        </w:rPr>
        <w:t>招标代理费、招标控制价编制费按照《招标代理服务收费管理暂行办法》（计价格[2002]1980号）、《浙江省物价局关于进一步完善工程造价咨询服务收费的通知》（浙价服[2009]84号）收费标准为基数，</w:t>
      </w:r>
      <w:r>
        <w:rPr>
          <w:rFonts w:ascii="宋体" w:hAnsi="宋体"/>
          <w:color w:val="auto"/>
          <w:spacing w:val="-3"/>
          <w:highlight w:val="none"/>
        </w:rPr>
        <w:t>招标代理费按收费</w:t>
      </w:r>
      <w:r>
        <w:rPr>
          <w:rFonts w:hint="eastAsia" w:ascii="宋体" w:hAnsi="宋体"/>
          <w:color w:val="auto"/>
          <w:spacing w:val="-3"/>
          <w:highlight w:val="none"/>
          <w:lang w:val="en-US" w:eastAsia="zh-CN"/>
        </w:rPr>
        <w:t>基数</w:t>
      </w:r>
      <w:r>
        <w:rPr>
          <w:rFonts w:ascii="宋体" w:hAnsi="宋体"/>
          <w:color w:val="auto"/>
          <w:highlight w:val="none"/>
          <w:u w:val="single"/>
        </w:rPr>
        <w:t>*</w:t>
      </w:r>
      <w:r>
        <w:rPr>
          <w:rFonts w:hint="eastAsia" w:ascii="宋体" w:hAnsi="宋体"/>
          <w:color w:val="auto"/>
          <w:highlight w:val="none"/>
          <w:u w:val="single"/>
          <w:lang w:val="en-US" w:eastAsia="zh-CN"/>
        </w:rPr>
        <w:t>60</w:t>
      </w:r>
      <w:r>
        <w:rPr>
          <w:rFonts w:ascii="宋体" w:hAnsi="宋体"/>
          <w:color w:val="auto"/>
          <w:highlight w:val="none"/>
          <w:u w:val="single"/>
        </w:rPr>
        <w:t>%、</w:t>
      </w:r>
      <w:r>
        <w:rPr>
          <w:rFonts w:ascii="宋体" w:hAnsi="宋体"/>
          <w:color w:val="auto"/>
          <w:spacing w:val="-7"/>
          <w:highlight w:val="none"/>
        </w:rPr>
        <w:t>咨询服务费按收费</w:t>
      </w:r>
      <w:r>
        <w:rPr>
          <w:rFonts w:hint="eastAsia" w:ascii="宋体" w:hAnsi="宋体"/>
          <w:color w:val="auto"/>
          <w:spacing w:val="-3"/>
          <w:highlight w:val="none"/>
          <w:lang w:val="en-US" w:eastAsia="zh-CN"/>
        </w:rPr>
        <w:t>基数</w:t>
      </w:r>
      <w:r>
        <w:rPr>
          <w:rFonts w:ascii="宋体" w:hAnsi="宋体"/>
          <w:color w:val="auto"/>
          <w:highlight w:val="none"/>
          <w:u w:val="single"/>
        </w:rPr>
        <w:t>*</w:t>
      </w:r>
      <w:r>
        <w:rPr>
          <w:rFonts w:hint="eastAsia" w:ascii="宋体" w:hAnsi="宋体"/>
          <w:color w:val="auto"/>
          <w:highlight w:val="none"/>
          <w:u w:val="single"/>
          <w:lang w:val="en-US" w:eastAsia="zh-CN"/>
        </w:rPr>
        <w:t>40</w:t>
      </w:r>
      <w:r>
        <w:rPr>
          <w:rFonts w:ascii="宋体" w:hAnsi="宋体"/>
          <w:color w:val="auto"/>
          <w:highlight w:val="none"/>
          <w:u w:val="single"/>
        </w:rPr>
        <w:t>%</w:t>
      </w:r>
      <w:r>
        <w:rPr>
          <w:rFonts w:ascii="宋体" w:hAnsi="宋体"/>
          <w:color w:val="auto"/>
          <w:spacing w:val="-9"/>
          <w:highlight w:val="none"/>
        </w:rPr>
        <w:t>的标准，分别作为投标基准价。投</w:t>
      </w:r>
      <w:r>
        <w:rPr>
          <w:rFonts w:ascii="宋体" w:hAnsi="宋体"/>
          <w:color w:val="auto"/>
          <w:spacing w:val="-5"/>
          <w:highlight w:val="none"/>
        </w:rPr>
        <w:t>标报价在基准价的</w:t>
      </w:r>
      <w:r>
        <w:rPr>
          <w:rFonts w:ascii="宋体" w:hAnsi="宋体"/>
          <w:color w:val="auto"/>
          <w:highlight w:val="none"/>
          <w:u w:val="single"/>
        </w:rPr>
        <w:t>-5%～5%（</w:t>
      </w:r>
      <w:r>
        <w:rPr>
          <w:rFonts w:ascii="宋体" w:hAnsi="宋体"/>
          <w:color w:val="auto"/>
          <w:spacing w:val="-3"/>
          <w:highlight w:val="none"/>
          <w:u w:val="single"/>
        </w:rPr>
        <w:t>含上限、下限</w:t>
      </w:r>
      <w:r>
        <w:rPr>
          <w:rFonts w:ascii="宋体" w:hAnsi="宋体"/>
          <w:color w:val="auto"/>
          <w:highlight w:val="none"/>
          <w:u w:val="single"/>
        </w:rPr>
        <w:t>）</w:t>
      </w:r>
      <w:r>
        <w:rPr>
          <w:rFonts w:ascii="宋体" w:hAnsi="宋体"/>
          <w:color w:val="auto"/>
          <w:spacing w:val="-3"/>
          <w:highlight w:val="none"/>
        </w:rPr>
        <w:t>有效范围内浮动。</w:t>
      </w:r>
    </w:p>
    <w:p>
      <w:pPr>
        <w:widowControl/>
        <w:spacing w:line="360" w:lineRule="auto"/>
        <w:jc w:val="left"/>
        <w:rPr>
          <w:rFonts w:ascii="宋体" w:hAnsi="宋体"/>
          <w:color w:val="auto"/>
          <w:spacing w:val="-3"/>
          <w:highlight w:val="none"/>
        </w:rPr>
      </w:pPr>
      <w:r>
        <w:rPr>
          <w:rFonts w:hint="eastAsia" w:ascii="宋体" w:hAnsi="宋体"/>
          <w:color w:val="auto"/>
          <w:spacing w:val="-5"/>
          <w:highlight w:val="none"/>
        </w:rPr>
        <w:t>3.3服务费包括招标代理以及工程量清单编制、招标控制价（参考标底）编制及招标过程中的专家费</w:t>
      </w:r>
      <w:r>
        <w:rPr>
          <w:rFonts w:hint="eastAsia" w:ascii="宋体" w:hAnsi="宋体"/>
          <w:color w:val="auto"/>
          <w:spacing w:val="-5"/>
          <w:highlight w:val="none"/>
          <w:lang w:eastAsia="zh-CN"/>
        </w:rPr>
        <w:t>、</w:t>
      </w:r>
      <w:r>
        <w:rPr>
          <w:rFonts w:hint="eastAsia" w:ascii="宋体" w:hAnsi="宋体"/>
          <w:color w:val="auto"/>
          <w:spacing w:val="-5"/>
          <w:highlight w:val="none"/>
        </w:rPr>
        <w:t>招标文件制作</w:t>
      </w:r>
      <w:r>
        <w:rPr>
          <w:rFonts w:hint="eastAsia" w:ascii="宋体" w:hAnsi="宋体"/>
          <w:color w:val="auto"/>
          <w:spacing w:val="-5"/>
          <w:highlight w:val="none"/>
          <w:lang w:val="en-US" w:eastAsia="zh-CN"/>
        </w:rPr>
        <w:t>费及评标期间产生的相关费用</w:t>
      </w:r>
      <w:r>
        <w:rPr>
          <w:rFonts w:hint="eastAsia" w:ascii="宋体" w:hAnsi="宋体"/>
          <w:color w:val="auto"/>
          <w:spacing w:val="-5"/>
          <w:highlight w:val="none"/>
        </w:rPr>
        <w:t>等支出费用，不包括公证费、审标费、交易服务费。监理</w:t>
      </w:r>
      <w:r>
        <w:rPr>
          <w:rFonts w:hint="eastAsia" w:ascii="宋体" w:hAnsi="宋体"/>
          <w:color w:val="auto"/>
          <w:spacing w:val="-5"/>
          <w:highlight w:val="none"/>
          <w:lang w:eastAsia="zh-CN"/>
        </w:rPr>
        <w:t>、</w:t>
      </w:r>
      <w:r>
        <w:rPr>
          <w:rFonts w:hint="eastAsia" w:ascii="宋体" w:hAnsi="宋体" w:cs="宋体"/>
          <w:b w:val="0"/>
          <w:bCs/>
          <w:i w:val="0"/>
          <w:iCs w:val="0"/>
          <w:color w:val="auto"/>
          <w:kern w:val="0"/>
          <w:highlight w:val="none"/>
          <w:u w:val="none"/>
          <w:lang w:val="en-US" w:eastAsia="zh-CN"/>
        </w:rPr>
        <w:t>标底审核、施工阶段全过程造价咨询</w:t>
      </w:r>
      <w:r>
        <w:rPr>
          <w:rFonts w:hint="eastAsia" w:ascii="宋体" w:hAnsi="宋体"/>
          <w:color w:val="auto"/>
          <w:spacing w:val="-5"/>
          <w:highlight w:val="none"/>
        </w:rPr>
        <w:t>等（如需进场招标）招标代理费用不再单独另行计取，设备及大宗材料等采购及与本工程相关全部需招标项目的招标代理费用不再单独另行计取。若项目招标失败，需要重新招标的，不再追加中介服务费。</w:t>
      </w:r>
    </w:p>
    <w:p>
      <w:pPr>
        <w:widowControl/>
        <w:spacing w:line="400" w:lineRule="exact"/>
        <w:rPr>
          <w:rFonts w:ascii="宋体" w:hAnsi="宋体"/>
          <w:color w:val="auto"/>
          <w:spacing w:val="-5"/>
          <w:highlight w:val="none"/>
        </w:rPr>
      </w:pPr>
      <w:r>
        <w:rPr>
          <w:rFonts w:hint="eastAsia" w:ascii="宋体" w:hAnsi="宋体" w:cs="宋体"/>
          <w:color w:val="auto"/>
          <w:kern w:val="0"/>
          <w:highlight w:val="none"/>
        </w:rPr>
        <w:t>3.4 本次招标所产生的代理费用按4500元计取，专家费和评标期间产生的相关费用（包括餐费）按实结算，上述所有费用由被委托项目招标产生的中标人承担，</w:t>
      </w:r>
      <w:r>
        <w:rPr>
          <w:rFonts w:hint="eastAsia" w:ascii="宋体" w:hAnsi="宋体"/>
          <w:color w:val="auto"/>
          <w:spacing w:val="-5"/>
          <w:highlight w:val="none"/>
        </w:rPr>
        <w:t>各投标单位在报价时综合考虑。交易服务费由招标人和本次中标人按绍兴市政务服务办公室的相关通知执行，公证费由招标人承担。</w:t>
      </w:r>
    </w:p>
    <w:p>
      <w:pPr>
        <w:widowControl/>
        <w:spacing w:line="360" w:lineRule="auto"/>
        <w:rPr>
          <w:rFonts w:ascii="宋体" w:hAnsi="宋体" w:cs="??"/>
          <w:b/>
          <w:bCs/>
          <w:color w:val="auto"/>
          <w:kern w:val="0"/>
          <w:highlight w:val="none"/>
        </w:rPr>
      </w:pPr>
      <w:r>
        <w:rPr>
          <w:rFonts w:ascii="宋体" w:hAnsi="宋体" w:cs="??"/>
          <w:b/>
          <w:bCs/>
          <w:color w:val="auto"/>
          <w:kern w:val="44"/>
          <w:highlight w:val="none"/>
        </w:rPr>
        <w:t>4</w:t>
      </w:r>
      <w:r>
        <w:rPr>
          <w:rFonts w:hint="eastAsia" w:ascii="宋体" w:hAnsi="宋体" w:cs="宋体"/>
          <w:b/>
          <w:bCs/>
          <w:color w:val="auto"/>
          <w:kern w:val="44"/>
          <w:highlight w:val="none"/>
        </w:rPr>
        <w:t>．投标人资格要求</w:t>
      </w:r>
      <w:bookmarkEnd w:id="7"/>
    </w:p>
    <w:p>
      <w:pPr>
        <w:widowControl/>
        <w:spacing w:line="360" w:lineRule="auto"/>
        <w:jc w:val="left"/>
        <w:rPr>
          <w:rFonts w:ascii="宋体" w:hAnsi="宋体"/>
          <w:color w:val="auto"/>
          <w:kern w:val="0"/>
          <w:highlight w:val="none"/>
        </w:rPr>
      </w:pPr>
      <w:r>
        <w:rPr>
          <w:rFonts w:ascii="宋体" w:hAnsi="宋体" w:cs="宋体"/>
          <w:color w:val="auto"/>
          <w:kern w:val="0"/>
          <w:highlight w:val="none"/>
        </w:rPr>
        <w:t>4.1</w:t>
      </w:r>
      <w:r>
        <w:rPr>
          <w:rFonts w:hint="eastAsia" w:ascii="宋体" w:hAnsi="宋体" w:cs="宋体"/>
          <w:color w:val="auto"/>
          <w:kern w:val="0"/>
          <w:highlight w:val="none"/>
        </w:rPr>
        <w:t>企业资质要求：</w:t>
      </w:r>
      <w:r>
        <w:rPr>
          <w:rFonts w:hint="eastAsia" w:ascii="宋体" w:hAnsi="宋体" w:cs="宋体"/>
          <w:color w:val="auto"/>
          <w:kern w:val="0"/>
          <w:highlight w:val="none"/>
          <w:u w:val="single"/>
        </w:rPr>
        <w:t>/</w:t>
      </w:r>
      <w:r>
        <w:rPr>
          <w:rFonts w:hint="eastAsia" w:ascii="宋体" w:hAnsi="宋体" w:cs="宋体"/>
          <w:color w:val="auto"/>
          <w:kern w:val="0"/>
          <w:highlight w:val="none"/>
        </w:rPr>
        <w:t>。</w:t>
      </w:r>
    </w:p>
    <w:p>
      <w:pPr>
        <w:pStyle w:val="8"/>
        <w:spacing w:line="440" w:lineRule="atLeast"/>
        <w:rPr>
          <w:b/>
          <w:bCs/>
          <w:color w:val="auto"/>
          <w:sz w:val="21"/>
          <w:szCs w:val="21"/>
          <w:highlight w:val="none"/>
          <w:u w:val="single"/>
        </w:rPr>
      </w:pPr>
      <w:r>
        <w:rPr>
          <w:color w:val="auto"/>
          <w:sz w:val="21"/>
          <w:szCs w:val="21"/>
          <w:highlight w:val="none"/>
        </w:rPr>
        <w:t>4.2</w:t>
      </w:r>
      <w:r>
        <w:rPr>
          <w:rFonts w:hint="eastAsia"/>
          <w:b/>
          <w:bCs/>
          <w:color w:val="auto"/>
          <w:sz w:val="21"/>
          <w:szCs w:val="21"/>
          <w:highlight w:val="none"/>
          <w:u w:val="single"/>
        </w:rPr>
        <w:t>业绩要求：投标人2017年</w:t>
      </w:r>
      <w:r>
        <w:rPr>
          <w:rFonts w:hint="eastAsia"/>
          <w:b/>
          <w:bCs/>
          <w:color w:val="auto"/>
          <w:sz w:val="21"/>
          <w:szCs w:val="21"/>
          <w:highlight w:val="none"/>
          <w:u w:val="single"/>
          <w:lang w:val="en-US" w:eastAsia="zh-CN"/>
        </w:rPr>
        <w:t>1</w:t>
      </w:r>
      <w:r>
        <w:rPr>
          <w:rFonts w:hint="eastAsia"/>
          <w:b/>
          <w:bCs/>
          <w:color w:val="auto"/>
          <w:sz w:val="21"/>
          <w:szCs w:val="21"/>
          <w:highlight w:val="none"/>
          <w:u w:val="single"/>
        </w:rPr>
        <w:t>月1日以来（时间以合同签订时间为准）完成过施工中标价2</w:t>
      </w:r>
      <w:r>
        <w:rPr>
          <w:b/>
          <w:bCs/>
          <w:color w:val="auto"/>
          <w:sz w:val="21"/>
          <w:szCs w:val="21"/>
          <w:highlight w:val="none"/>
          <w:u w:val="single"/>
        </w:rPr>
        <w:t>0000</w:t>
      </w:r>
      <w:r>
        <w:rPr>
          <w:rFonts w:hint="eastAsia"/>
          <w:b/>
          <w:bCs/>
          <w:color w:val="auto"/>
          <w:sz w:val="21"/>
          <w:szCs w:val="21"/>
          <w:highlight w:val="none"/>
          <w:u w:val="single"/>
        </w:rPr>
        <w:t>万元（含）以上的房屋建筑工程招标代理及造价咨询项目</w:t>
      </w:r>
      <w:r>
        <w:rPr>
          <w:rFonts w:hint="eastAsia"/>
          <w:b/>
          <w:bCs/>
          <w:color w:val="auto"/>
          <w:sz w:val="21"/>
          <w:szCs w:val="21"/>
          <w:highlight w:val="none"/>
          <w:u w:val="single"/>
          <w:lang w:eastAsia="zh-CN"/>
        </w:rPr>
        <w:t>（同一项目不同标段的工程以各标段施工中标价累计金额为</w:t>
      </w:r>
      <w:r>
        <w:rPr>
          <w:rFonts w:hint="eastAsia"/>
          <w:b/>
          <w:bCs/>
          <w:color w:val="auto"/>
          <w:sz w:val="21"/>
          <w:szCs w:val="21"/>
          <w:highlight w:val="none"/>
          <w:u w:val="single"/>
          <w:lang w:val="en-US" w:eastAsia="zh-CN"/>
        </w:rPr>
        <w:t>准</w:t>
      </w:r>
      <w:r>
        <w:rPr>
          <w:rFonts w:hint="eastAsia"/>
          <w:b/>
          <w:bCs/>
          <w:color w:val="auto"/>
          <w:sz w:val="21"/>
          <w:szCs w:val="21"/>
          <w:highlight w:val="none"/>
          <w:u w:val="single"/>
          <w:lang w:eastAsia="zh-CN"/>
        </w:rPr>
        <w:t>）</w:t>
      </w:r>
      <w:r>
        <w:rPr>
          <w:rFonts w:hint="eastAsia"/>
          <w:b/>
          <w:bCs/>
          <w:color w:val="auto"/>
          <w:sz w:val="21"/>
          <w:szCs w:val="21"/>
          <w:highlight w:val="none"/>
          <w:u w:val="single"/>
        </w:rPr>
        <w:t>。证明材料：须同时提供招标代理合同、造价咨询合同、施工中标通知书；施工中标价以施工中标通知书中的金额为准，上述证明材料无法体现业绩要求内容的，还须提供业主证明（加盖业主公章）。</w:t>
      </w:r>
    </w:p>
    <w:p>
      <w:pPr>
        <w:widowControl/>
        <w:spacing w:line="380" w:lineRule="atLeast"/>
        <w:ind w:firstLine="422"/>
        <w:rPr>
          <w:rFonts w:ascii="宋体" w:hAnsi="宋体" w:cs="Arial"/>
          <w:color w:val="auto"/>
          <w:kern w:val="0"/>
          <w:highlight w:val="none"/>
          <w:u w:val="single"/>
        </w:rPr>
      </w:pPr>
      <w:r>
        <w:rPr>
          <w:rFonts w:ascii="宋体" w:hAnsi="宋体" w:cs="宋体"/>
          <w:color w:val="auto"/>
          <w:kern w:val="0"/>
          <w:highlight w:val="none"/>
        </w:rPr>
        <w:t>4.3</w:t>
      </w:r>
      <w:r>
        <w:rPr>
          <w:rFonts w:hint="eastAsia" w:ascii="宋体" w:hAnsi="宋体" w:cs="宋体"/>
          <w:color w:val="auto"/>
          <w:kern w:val="0"/>
          <w:highlight w:val="none"/>
        </w:rPr>
        <w:t>项目负责人要求：</w:t>
      </w:r>
      <w:r>
        <w:rPr>
          <w:rFonts w:hint="eastAsia" w:ascii="宋体" w:hAnsi="宋体" w:cs="宋体"/>
          <w:color w:val="auto"/>
          <w:kern w:val="0"/>
          <w:highlight w:val="none"/>
          <w:u w:val="single"/>
        </w:rPr>
        <w:t>具有一级注册造价工程师执业资格（</w:t>
      </w:r>
      <w:r>
        <w:rPr>
          <w:rFonts w:hint="eastAsia" w:ascii="宋体" w:hAnsi="宋体" w:cs="Arial"/>
          <w:b/>
          <w:bCs/>
          <w:color w:val="auto"/>
          <w:kern w:val="0"/>
          <w:highlight w:val="none"/>
          <w:u w:val="single"/>
        </w:rPr>
        <w:t>2018年7月20日发布“建人[2018]67号”文件之前取得的造价工程师与一级等同，下同</w:t>
      </w:r>
      <w:r>
        <w:rPr>
          <w:rFonts w:hint="eastAsia" w:ascii="宋体" w:hAnsi="宋体" w:cs="宋体"/>
          <w:color w:val="auto"/>
          <w:kern w:val="0"/>
          <w:highlight w:val="none"/>
          <w:u w:val="single"/>
        </w:rPr>
        <w:t>），且</w:t>
      </w:r>
      <w:r>
        <w:rPr>
          <w:rFonts w:hint="eastAsia" w:ascii="宋体" w:hAnsi="宋体" w:cs="宋体"/>
          <w:color w:val="auto"/>
          <w:highlight w:val="none"/>
          <w:u w:val="single"/>
        </w:rPr>
        <w:t>必须为投标人在职职工（不包括离退休返聘人员），须提供缴费期限包含</w:t>
      </w:r>
      <w:r>
        <w:rPr>
          <w:rFonts w:hint="eastAsia" w:ascii="宋体" w:hAnsi="宋体" w:cs="宋体"/>
          <w:color w:val="auto"/>
          <w:highlight w:val="none"/>
          <w:u w:val="single"/>
          <w:lang w:eastAsia="zh-CN"/>
        </w:rPr>
        <w:t>2022年</w:t>
      </w:r>
      <w:r>
        <w:rPr>
          <w:rFonts w:hint="eastAsia" w:ascii="宋体" w:hAnsi="宋体" w:cs="宋体"/>
          <w:color w:val="auto"/>
          <w:highlight w:val="none"/>
          <w:u w:val="single"/>
          <w:lang w:val="en-US" w:eastAsia="zh-CN"/>
        </w:rPr>
        <w:t>4</w:t>
      </w:r>
      <w:r>
        <w:rPr>
          <w:rFonts w:hint="eastAsia" w:ascii="宋体" w:hAnsi="宋体" w:cs="宋体"/>
          <w:color w:val="auto"/>
          <w:highlight w:val="none"/>
          <w:u w:val="single"/>
          <w:lang w:eastAsia="zh-CN"/>
        </w:rPr>
        <w:t>月至2022年</w:t>
      </w:r>
      <w:r>
        <w:rPr>
          <w:rFonts w:hint="eastAsia" w:ascii="宋体" w:hAnsi="宋体" w:cs="宋体"/>
          <w:color w:val="auto"/>
          <w:highlight w:val="none"/>
          <w:u w:val="single"/>
          <w:lang w:val="en-US" w:eastAsia="zh-CN"/>
        </w:rPr>
        <w:t>6</w:t>
      </w:r>
      <w:r>
        <w:rPr>
          <w:rFonts w:hint="eastAsia" w:ascii="宋体" w:hAnsi="宋体" w:cs="宋体"/>
          <w:color w:val="auto"/>
          <w:highlight w:val="none"/>
          <w:u w:val="single"/>
          <w:lang w:eastAsia="zh-CN"/>
        </w:rPr>
        <w:t>月</w:t>
      </w:r>
      <w:r>
        <w:rPr>
          <w:rFonts w:hint="eastAsia" w:ascii="宋体" w:hAnsi="宋体" w:cs="宋体"/>
          <w:color w:val="auto"/>
          <w:highlight w:val="none"/>
          <w:u w:val="single"/>
        </w:rPr>
        <w:t xml:space="preserve">的投标人所属社保机构养老保险交纳清单或证明为准【缴费单位和投标人名称必须一致，并加盖社保缴费证明专用章（非独立法人的分公司社保证明有效）】，以投标人所属社保机构出具的盖有社保部门专用章（或电子专用章）的社保证明件为准；若项目负责人为事业编制的，须提供缴费期限包含 </w:t>
      </w:r>
      <w:r>
        <w:rPr>
          <w:rFonts w:hint="eastAsia" w:ascii="宋体" w:hAnsi="宋体" w:cs="宋体"/>
          <w:color w:val="auto"/>
          <w:highlight w:val="none"/>
          <w:u w:val="single"/>
          <w:lang w:eastAsia="zh-CN"/>
        </w:rPr>
        <w:t>2022年</w:t>
      </w:r>
      <w:r>
        <w:rPr>
          <w:rFonts w:hint="eastAsia" w:ascii="宋体" w:hAnsi="宋体" w:cs="宋体"/>
          <w:color w:val="auto"/>
          <w:highlight w:val="none"/>
          <w:u w:val="single"/>
          <w:lang w:val="en-US" w:eastAsia="zh-CN"/>
        </w:rPr>
        <w:t>4</w:t>
      </w:r>
      <w:r>
        <w:rPr>
          <w:rFonts w:hint="eastAsia" w:ascii="宋体" w:hAnsi="宋体" w:cs="宋体"/>
          <w:color w:val="auto"/>
          <w:highlight w:val="none"/>
          <w:u w:val="single"/>
          <w:lang w:eastAsia="zh-CN"/>
        </w:rPr>
        <w:t>月至2022年</w:t>
      </w:r>
      <w:r>
        <w:rPr>
          <w:rFonts w:hint="eastAsia" w:ascii="宋体" w:hAnsi="宋体" w:cs="宋体"/>
          <w:color w:val="auto"/>
          <w:highlight w:val="none"/>
          <w:u w:val="single"/>
          <w:lang w:val="en-US" w:eastAsia="zh-CN"/>
        </w:rPr>
        <w:t>6</w:t>
      </w:r>
      <w:r>
        <w:rPr>
          <w:rFonts w:hint="eastAsia" w:ascii="宋体" w:hAnsi="宋体" w:cs="宋体"/>
          <w:color w:val="auto"/>
          <w:highlight w:val="none"/>
          <w:u w:val="single"/>
          <w:lang w:eastAsia="zh-CN"/>
        </w:rPr>
        <w:t>月</w:t>
      </w:r>
      <w:r>
        <w:rPr>
          <w:rFonts w:hint="eastAsia" w:ascii="宋体" w:hAnsi="宋体" w:cs="宋体"/>
          <w:color w:val="auto"/>
          <w:highlight w:val="none"/>
          <w:u w:val="single"/>
        </w:rPr>
        <w:t>由人事代理中心出具的社保证明（需加盖人事代理中心证明专用章）。</w:t>
      </w:r>
    </w:p>
    <w:p>
      <w:pPr>
        <w:widowControl/>
        <w:spacing w:line="360" w:lineRule="auto"/>
        <w:jc w:val="left"/>
        <w:rPr>
          <w:rFonts w:ascii="宋体" w:hAnsi="宋体"/>
          <w:color w:val="auto"/>
          <w:kern w:val="0"/>
          <w:highlight w:val="none"/>
        </w:rPr>
      </w:pPr>
      <w:r>
        <w:rPr>
          <w:rFonts w:ascii="宋体" w:hAnsi="宋体" w:cs="宋体"/>
          <w:color w:val="auto"/>
          <w:kern w:val="0"/>
          <w:highlight w:val="none"/>
        </w:rPr>
        <w:t>4.</w:t>
      </w:r>
      <w:r>
        <w:rPr>
          <w:rFonts w:hint="eastAsia" w:ascii="宋体" w:hAnsi="宋体" w:cs="宋体"/>
          <w:color w:val="auto"/>
          <w:kern w:val="0"/>
          <w:highlight w:val="none"/>
        </w:rPr>
        <w:t>4其他资格条件：</w:t>
      </w:r>
    </w:p>
    <w:p>
      <w:pPr>
        <w:widowControl/>
        <w:spacing w:line="360" w:lineRule="auto"/>
        <w:jc w:val="left"/>
        <w:rPr>
          <w:rFonts w:ascii="宋体" w:hAnsi="宋体"/>
          <w:color w:val="auto"/>
          <w:highlight w:val="none"/>
        </w:rPr>
      </w:pPr>
      <w:r>
        <w:rPr>
          <w:rFonts w:hint="eastAsia" w:ascii="宋体" w:hAnsi="宋体" w:cs="宋体"/>
          <w:color w:val="auto"/>
          <w:highlight w:val="none"/>
        </w:rPr>
        <w:t>（</w:t>
      </w:r>
      <w:r>
        <w:rPr>
          <w:rFonts w:ascii="宋体" w:hAnsi="宋体" w:cs="宋体"/>
          <w:color w:val="auto"/>
          <w:highlight w:val="none"/>
        </w:rPr>
        <w:t>1</w:t>
      </w:r>
      <w:r>
        <w:rPr>
          <w:rFonts w:hint="eastAsia" w:ascii="宋体" w:hAnsi="宋体" w:cs="宋体"/>
          <w:color w:val="auto"/>
          <w:highlight w:val="none"/>
        </w:rPr>
        <w:t>）在中华人民共和国境内注册的独立法人；</w:t>
      </w:r>
    </w:p>
    <w:p>
      <w:pPr>
        <w:widowControl/>
        <w:spacing w:line="400" w:lineRule="exact"/>
        <w:jc w:val="left"/>
        <w:rPr>
          <w:rFonts w:ascii="宋体" w:hAnsi="宋体"/>
          <w:color w:val="auto"/>
          <w:highlight w:val="none"/>
        </w:rPr>
      </w:pPr>
      <w:r>
        <w:rPr>
          <w:rFonts w:hint="eastAsia" w:ascii="宋体" w:hAnsi="宋体"/>
          <w:color w:val="auto"/>
          <w:highlight w:val="none"/>
        </w:rPr>
        <w:t>（</w:t>
      </w:r>
      <w:r>
        <w:rPr>
          <w:rFonts w:ascii="宋体" w:hAnsi="宋体"/>
          <w:color w:val="auto"/>
          <w:highlight w:val="none"/>
        </w:rPr>
        <w:t>2</w:t>
      </w:r>
      <w:r>
        <w:rPr>
          <w:rFonts w:hint="eastAsia" w:ascii="宋体" w:hAnsi="宋体"/>
          <w:color w:val="auto"/>
          <w:highlight w:val="none"/>
        </w:rPr>
        <w:t>）企业具有绍兴市公共资源交易中心越城区分中心工程建设项目有效的入库登记信息；</w:t>
      </w:r>
    </w:p>
    <w:p>
      <w:pPr>
        <w:widowControl/>
        <w:spacing w:line="360" w:lineRule="auto"/>
        <w:jc w:val="left"/>
        <w:rPr>
          <w:rFonts w:ascii="宋体" w:hAnsi="宋体"/>
          <w:color w:val="auto"/>
          <w:highlight w:val="none"/>
          <w:u w:val="single"/>
        </w:rPr>
      </w:pPr>
      <w:r>
        <w:rPr>
          <w:rFonts w:hint="eastAsia" w:ascii="宋体" w:hAnsi="宋体" w:cs="宋体"/>
          <w:color w:val="auto"/>
          <w:highlight w:val="none"/>
        </w:rPr>
        <w:t>（</w:t>
      </w:r>
      <w:r>
        <w:rPr>
          <w:rFonts w:ascii="宋体" w:hAnsi="宋体" w:cs="宋体"/>
          <w:color w:val="auto"/>
          <w:highlight w:val="none"/>
        </w:rPr>
        <w:t>3</w:t>
      </w:r>
      <w:r>
        <w:rPr>
          <w:rFonts w:hint="eastAsia" w:ascii="宋体" w:hAnsi="宋体" w:cs="宋体"/>
          <w:color w:val="auto"/>
          <w:highlight w:val="none"/>
        </w:rPr>
        <w:t>）企业</w:t>
      </w:r>
      <w:r>
        <w:rPr>
          <w:rFonts w:hint="eastAsia" w:ascii="宋体" w:hAnsi="宋体" w:cs="宋体"/>
          <w:color w:val="000000" w:themeColor="text1"/>
          <w:highlight w:val="none"/>
          <w14:textFill>
            <w14:solidFill>
              <w14:schemeClr w14:val="tx1"/>
            </w14:solidFill>
          </w14:textFill>
        </w:rPr>
        <w:t>在近二年内</w:t>
      </w:r>
      <w:r>
        <w:rPr>
          <w:rFonts w:hint="eastAsia" w:ascii="宋体" w:hAnsi="宋体" w:cs="宋体"/>
          <w:color w:val="000000" w:themeColor="text1"/>
          <w:highlight w:val="none"/>
          <w:u w:val="single"/>
          <w14:textFill>
            <w14:solidFill>
              <w14:schemeClr w14:val="tx1"/>
            </w14:solidFill>
          </w14:textFill>
        </w:rPr>
        <w:t>（20</w:t>
      </w:r>
      <w:r>
        <w:rPr>
          <w:rFonts w:hint="eastAsia" w:ascii="宋体" w:hAnsi="宋体" w:cs="宋体"/>
          <w:color w:val="000000" w:themeColor="text1"/>
          <w:highlight w:val="none"/>
          <w:u w:val="single"/>
          <w:lang w:val="en-US" w:eastAsia="zh-CN"/>
          <w14:textFill>
            <w14:solidFill>
              <w14:schemeClr w14:val="tx1"/>
            </w14:solidFill>
          </w14:textFill>
        </w:rPr>
        <w:t>20</w:t>
      </w:r>
      <w:r>
        <w:rPr>
          <w:rFonts w:hint="eastAsia" w:ascii="宋体" w:hAnsi="宋体" w:cs="宋体"/>
          <w:color w:val="000000" w:themeColor="text1"/>
          <w:highlight w:val="none"/>
          <w:u w:val="single"/>
          <w14:textFill>
            <w14:solidFill>
              <w14:schemeClr w14:val="tx1"/>
            </w14:solidFill>
          </w14:textFill>
        </w:rPr>
        <w:t>年</w:t>
      </w:r>
      <w:r>
        <w:rPr>
          <w:rFonts w:hint="eastAsia" w:ascii="宋体" w:hAnsi="宋体" w:cs="宋体"/>
          <w:color w:val="000000" w:themeColor="text1"/>
          <w:highlight w:val="none"/>
          <w:u w:val="single"/>
          <w:lang w:val="en-US" w:eastAsia="zh-CN"/>
          <w14:textFill>
            <w14:solidFill>
              <w14:schemeClr w14:val="tx1"/>
            </w14:solidFill>
          </w14:textFill>
        </w:rPr>
        <w:t>7</w:t>
      </w:r>
      <w:r>
        <w:rPr>
          <w:rFonts w:hint="eastAsia" w:ascii="宋体" w:hAnsi="宋体" w:cs="宋体"/>
          <w:color w:val="000000" w:themeColor="text1"/>
          <w:highlight w:val="none"/>
          <w:u w:val="single"/>
          <w14:textFill>
            <w14:solidFill>
              <w14:schemeClr w14:val="tx1"/>
            </w14:solidFill>
          </w14:textFill>
        </w:rPr>
        <w:t>月至202</w:t>
      </w:r>
      <w:r>
        <w:rPr>
          <w:rFonts w:hint="eastAsia" w:ascii="宋体" w:hAnsi="宋体" w:cs="宋体"/>
          <w:color w:val="000000" w:themeColor="text1"/>
          <w:highlight w:val="none"/>
          <w:u w:val="single"/>
          <w:lang w:val="en-US" w:eastAsia="zh-CN"/>
          <w14:textFill>
            <w14:solidFill>
              <w14:schemeClr w14:val="tx1"/>
            </w14:solidFill>
          </w14:textFill>
        </w:rPr>
        <w:t>2</w:t>
      </w:r>
      <w:r>
        <w:rPr>
          <w:rFonts w:hint="eastAsia" w:ascii="宋体" w:hAnsi="宋体" w:cs="宋体"/>
          <w:color w:val="000000" w:themeColor="text1"/>
          <w:highlight w:val="none"/>
          <w:u w:val="single"/>
          <w14:textFill>
            <w14:solidFill>
              <w14:schemeClr w14:val="tx1"/>
            </w14:solidFill>
          </w14:textFill>
        </w:rPr>
        <w:t>年</w:t>
      </w:r>
      <w:r>
        <w:rPr>
          <w:rFonts w:hint="eastAsia" w:ascii="宋体" w:hAnsi="宋体" w:cs="宋体"/>
          <w:color w:val="000000" w:themeColor="text1"/>
          <w:highlight w:val="none"/>
          <w:u w:val="single"/>
          <w:lang w:val="en-US" w:eastAsia="zh-CN"/>
          <w14:textFill>
            <w14:solidFill>
              <w14:schemeClr w14:val="tx1"/>
            </w14:solidFill>
          </w14:textFill>
        </w:rPr>
        <w:t>7</w:t>
      </w:r>
      <w:r>
        <w:rPr>
          <w:rFonts w:hint="eastAsia" w:ascii="宋体" w:hAnsi="宋体" w:cs="宋体"/>
          <w:color w:val="000000" w:themeColor="text1"/>
          <w:highlight w:val="none"/>
          <w:u w:val="single"/>
          <w14:textFill>
            <w14:solidFill>
              <w14:schemeClr w14:val="tx1"/>
            </w14:solidFill>
          </w14:textFill>
        </w:rPr>
        <w:t>月）</w:t>
      </w:r>
      <w:r>
        <w:rPr>
          <w:rFonts w:hint="eastAsia" w:ascii="宋体" w:hAnsi="宋体" w:cs="宋体"/>
          <w:color w:val="000000" w:themeColor="text1"/>
          <w:highlight w:val="none"/>
          <w14:textFill>
            <w14:solidFill>
              <w14:schemeClr w14:val="tx1"/>
            </w14:solidFill>
          </w14:textFill>
        </w:rPr>
        <w:t>无不良行为记录（</w:t>
      </w:r>
      <w:r>
        <w:rPr>
          <w:rFonts w:hint="eastAsia" w:ascii="宋体" w:hAnsi="宋体" w:cs="宋体"/>
          <w:color w:val="auto"/>
          <w:highlight w:val="none"/>
        </w:rPr>
        <w:t>指针对企业作出的行政处罚决定）。</w:t>
      </w:r>
    </w:p>
    <w:p>
      <w:pPr>
        <w:widowControl/>
        <w:spacing w:line="360" w:lineRule="auto"/>
        <w:jc w:val="left"/>
        <w:rPr>
          <w:rFonts w:ascii="宋体" w:hAnsi="宋体"/>
          <w:color w:val="auto"/>
          <w:highlight w:val="none"/>
          <w:u w:val="single"/>
        </w:rPr>
      </w:pPr>
      <w:r>
        <w:rPr>
          <w:rFonts w:hint="eastAsia" w:ascii="宋体" w:hAnsi="宋体" w:cs="宋体"/>
          <w:color w:val="auto"/>
          <w:highlight w:val="none"/>
        </w:rPr>
        <w:t>（</w:t>
      </w:r>
      <w:r>
        <w:rPr>
          <w:rFonts w:ascii="宋体" w:hAnsi="宋体" w:cs="宋体"/>
          <w:color w:val="auto"/>
          <w:highlight w:val="none"/>
        </w:rPr>
        <w:t>4</w:t>
      </w:r>
      <w:r>
        <w:rPr>
          <w:rFonts w:hint="eastAsia" w:ascii="宋体" w:hAnsi="宋体" w:cs="宋体"/>
          <w:color w:val="auto"/>
          <w:highlight w:val="none"/>
        </w:rPr>
        <w:t>）其他条件：</w:t>
      </w:r>
      <w:r>
        <w:rPr>
          <w:rFonts w:hint="eastAsia" w:ascii="宋体" w:hAnsi="宋体" w:cs="宋体"/>
          <w:color w:val="auto"/>
          <w:highlight w:val="none"/>
          <w:u w:val="single"/>
        </w:rPr>
        <w:t>/</w:t>
      </w:r>
    </w:p>
    <w:p>
      <w:pPr>
        <w:widowControl/>
        <w:spacing w:line="360" w:lineRule="auto"/>
        <w:jc w:val="left"/>
        <w:rPr>
          <w:rFonts w:ascii="宋体" w:hAnsi="宋体"/>
          <w:color w:val="auto"/>
          <w:highlight w:val="none"/>
          <w:u w:val="single"/>
        </w:rPr>
      </w:pPr>
      <w:r>
        <w:rPr>
          <w:rFonts w:ascii="宋体" w:hAnsi="宋体" w:cs="宋体"/>
          <w:color w:val="auto"/>
          <w:highlight w:val="none"/>
        </w:rPr>
        <w:t>4.</w:t>
      </w:r>
      <w:r>
        <w:rPr>
          <w:rFonts w:hint="eastAsia" w:ascii="宋体" w:hAnsi="宋体" w:cs="宋体"/>
          <w:color w:val="auto"/>
          <w:highlight w:val="none"/>
        </w:rPr>
        <w:t>5是否接受联合体报名：</w:t>
      </w:r>
      <w:r>
        <w:rPr>
          <w:rFonts w:hint="eastAsia" w:ascii="宋体" w:hAnsi="宋体"/>
          <w:color w:val="auto"/>
          <w:highlight w:val="none"/>
          <w:u w:val="single"/>
        </w:rPr>
        <w:t>不接受</w:t>
      </w:r>
    </w:p>
    <w:p>
      <w:pPr>
        <w:widowControl/>
        <w:spacing w:line="360" w:lineRule="auto"/>
        <w:rPr>
          <w:rFonts w:ascii="宋体" w:hAnsi="宋体" w:cs="??"/>
          <w:b/>
          <w:bCs/>
          <w:color w:val="auto"/>
          <w:kern w:val="0"/>
          <w:highlight w:val="none"/>
        </w:rPr>
      </w:pPr>
      <w:bookmarkStart w:id="8" w:name="_Toc351330864"/>
      <w:r>
        <w:rPr>
          <w:rFonts w:ascii="宋体" w:hAnsi="宋体" w:cs="??"/>
          <w:b/>
          <w:bCs/>
          <w:color w:val="auto"/>
          <w:kern w:val="44"/>
          <w:highlight w:val="none"/>
        </w:rPr>
        <w:t>5</w:t>
      </w:r>
      <w:r>
        <w:rPr>
          <w:rFonts w:hint="eastAsia" w:ascii="宋体" w:hAnsi="宋体" w:cs="宋体"/>
          <w:b/>
          <w:bCs/>
          <w:color w:val="auto"/>
          <w:kern w:val="44"/>
          <w:highlight w:val="none"/>
        </w:rPr>
        <w:t>．招标文件获取</w:t>
      </w:r>
      <w:bookmarkEnd w:id="8"/>
    </w:p>
    <w:p>
      <w:pPr>
        <w:widowControl/>
        <w:spacing w:line="360" w:lineRule="auto"/>
        <w:jc w:val="left"/>
        <w:rPr>
          <w:rFonts w:ascii="宋体" w:hAnsi="宋体" w:cs="宋体"/>
          <w:color w:val="auto"/>
          <w:kern w:val="0"/>
          <w:highlight w:val="none"/>
        </w:rPr>
      </w:pPr>
      <w:r>
        <w:rPr>
          <w:rFonts w:ascii="宋体" w:hAnsi="宋体" w:cs="??"/>
          <w:color w:val="auto"/>
          <w:kern w:val="0"/>
          <w:highlight w:val="none"/>
        </w:rPr>
        <w:t>5.1</w:t>
      </w:r>
      <w:r>
        <w:rPr>
          <w:rFonts w:ascii="宋体" w:hAnsi="宋体" w:cs="Arial"/>
          <w:color w:val="auto"/>
          <w:kern w:val="0"/>
          <w:highlight w:val="none"/>
        </w:rPr>
        <w:t>凡有意参加投标者，请于</w:t>
      </w:r>
      <w:r>
        <w:rPr>
          <w:rFonts w:hint="eastAsia" w:ascii="宋体" w:hAnsi="宋体" w:cs="宋体"/>
          <w:color w:val="auto"/>
          <w:highlight w:val="none"/>
          <w:u w:val="single"/>
        </w:rPr>
        <w:t>2022</w:t>
      </w:r>
      <w:r>
        <w:rPr>
          <w:rFonts w:ascii="宋体" w:hAnsi="宋体" w:cs="Arial"/>
          <w:color w:val="auto"/>
          <w:kern w:val="0"/>
          <w:highlight w:val="none"/>
        </w:rPr>
        <w:t>年</w:t>
      </w:r>
      <w:r>
        <w:rPr>
          <w:rFonts w:hint="eastAsia" w:ascii="宋体" w:hAnsi="宋体" w:cs="Arial"/>
          <w:color w:val="auto"/>
          <w:kern w:val="0"/>
          <w:highlight w:val="none"/>
          <w:u w:val="single"/>
          <w:lang w:val="en-US" w:eastAsia="zh-CN"/>
        </w:rPr>
        <w:t xml:space="preserve">   8  </w:t>
      </w:r>
      <w:r>
        <w:rPr>
          <w:rFonts w:ascii="宋体" w:hAnsi="宋体" w:cs="Arial"/>
          <w:color w:val="auto"/>
          <w:kern w:val="0"/>
          <w:highlight w:val="none"/>
        </w:rPr>
        <w:t>月</w:t>
      </w:r>
      <w:r>
        <w:rPr>
          <w:rFonts w:hint="eastAsia" w:ascii="宋体" w:hAnsi="宋体" w:cs="Arial"/>
          <w:color w:val="auto"/>
          <w:kern w:val="0"/>
          <w:highlight w:val="none"/>
          <w:u w:val="single"/>
          <w:lang w:val="en-US" w:eastAsia="zh-CN"/>
        </w:rPr>
        <w:t xml:space="preserve">    </w:t>
      </w:r>
      <w:r>
        <w:rPr>
          <w:rFonts w:ascii="宋体" w:hAnsi="宋体" w:cs="Arial"/>
          <w:color w:val="auto"/>
          <w:kern w:val="0"/>
          <w:highlight w:val="none"/>
        </w:rPr>
        <w:t>日</w:t>
      </w:r>
      <w:r>
        <w:rPr>
          <w:rFonts w:hint="eastAsia" w:ascii="宋体" w:hAnsi="宋体" w:cs="Arial"/>
          <w:color w:val="auto"/>
          <w:kern w:val="0"/>
          <w:highlight w:val="none"/>
          <w:u w:val="single"/>
        </w:rPr>
        <w:t>8:30</w:t>
      </w:r>
      <w:r>
        <w:rPr>
          <w:rFonts w:hint="eastAsia" w:ascii="宋体" w:hAnsi="宋体" w:cs="Arial"/>
          <w:color w:val="auto"/>
          <w:kern w:val="0"/>
          <w:highlight w:val="none"/>
        </w:rPr>
        <w:t>时</w:t>
      </w:r>
      <w:r>
        <w:rPr>
          <w:rFonts w:ascii="宋体" w:hAnsi="宋体" w:cs="Arial"/>
          <w:color w:val="auto"/>
          <w:kern w:val="0"/>
          <w:highlight w:val="none"/>
        </w:rPr>
        <w:t>至</w:t>
      </w:r>
      <w:r>
        <w:rPr>
          <w:rFonts w:hint="eastAsia" w:ascii="宋体" w:hAnsi="宋体" w:cs="宋体"/>
          <w:color w:val="auto"/>
          <w:highlight w:val="none"/>
          <w:u w:val="single"/>
        </w:rPr>
        <w:t>2022</w:t>
      </w:r>
      <w:r>
        <w:rPr>
          <w:rFonts w:ascii="宋体" w:hAnsi="宋体" w:cs="Arial"/>
          <w:color w:val="auto"/>
          <w:kern w:val="0"/>
          <w:highlight w:val="none"/>
        </w:rPr>
        <w:t>年</w:t>
      </w:r>
      <w:r>
        <w:rPr>
          <w:rFonts w:hint="eastAsia" w:ascii="宋体" w:hAnsi="宋体" w:cs="Arial"/>
          <w:color w:val="auto"/>
          <w:kern w:val="0"/>
          <w:highlight w:val="none"/>
          <w:u w:val="single"/>
          <w:lang w:val="en-US" w:eastAsia="zh-CN"/>
        </w:rPr>
        <w:t xml:space="preserve">    </w:t>
      </w:r>
      <w:r>
        <w:rPr>
          <w:rFonts w:ascii="宋体" w:hAnsi="宋体" w:cs="Arial"/>
          <w:color w:val="auto"/>
          <w:kern w:val="0"/>
          <w:highlight w:val="none"/>
        </w:rPr>
        <w:t>月</w:t>
      </w:r>
      <w:r>
        <w:rPr>
          <w:rFonts w:hint="eastAsia" w:ascii="宋体" w:hAnsi="宋体" w:cs="Arial"/>
          <w:color w:val="auto"/>
          <w:kern w:val="0"/>
          <w:highlight w:val="none"/>
          <w:u w:val="single"/>
          <w:lang w:val="en-US" w:eastAsia="zh-CN"/>
        </w:rPr>
        <w:t xml:space="preserve">    </w:t>
      </w:r>
      <w:r>
        <w:rPr>
          <w:rFonts w:ascii="宋体" w:hAnsi="宋体" w:cs="Arial"/>
          <w:color w:val="auto"/>
          <w:kern w:val="0"/>
          <w:highlight w:val="none"/>
        </w:rPr>
        <w:t>日</w:t>
      </w:r>
      <w:r>
        <w:rPr>
          <w:rFonts w:hint="eastAsia" w:ascii="宋体" w:hAnsi="宋体" w:cs="Arial"/>
          <w:color w:val="auto"/>
          <w:kern w:val="0"/>
          <w:highlight w:val="none"/>
          <w:u w:val="single"/>
        </w:rPr>
        <w:t>17:</w:t>
      </w:r>
      <w:r>
        <w:rPr>
          <w:rFonts w:hint="eastAsia" w:ascii="宋体" w:hAnsi="宋体" w:cs="Arial"/>
          <w:color w:val="auto"/>
          <w:kern w:val="0"/>
          <w:highlight w:val="none"/>
          <w:u w:val="single"/>
          <w:lang w:eastAsia="zh-CN"/>
        </w:rPr>
        <w:t>3</w:t>
      </w:r>
      <w:r>
        <w:rPr>
          <w:rFonts w:hint="eastAsia" w:ascii="宋体" w:hAnsi="宋体" w:cs="Arial"/>
          <w:color w:val="auto"/>
          <w:kern w:val="0"/>
          <w:highlight w:val="none"/>
          <w:u w:val="single"/>
        </w:rPr>
        <w:t>0</w:t>
      </w:r>
      <w:r>
        <w:rPr>
          <w:rFonts w:hint="eastAsia" w:ascii="宋体" w:hAnsi="宋体" w:cs="Arial"/>
          <w:color w:val="auto"/>
          <w:kern w:val="0"/>
          <w:highlight w:val="none"/>
        </w:rPr>
        <w:t>时</w:t>
      </w:r>
      <w:r>
        <w:rPr>
          <w:rFonts w:ascii="宋体" w:hAnsi="宋体" w:cs="Arial"/>
          <w:color w:val="auto"/>
          <w:kern w:val="0"/>
          <w:highlight w:val="none"/>
        </w:rPr>
        <w:t>在</w:t>
      </w:r>
      <w:r>
        <w:rPr>
          <w:rFonts w:hint="eastAsia" w:ascii="宋体" w:hAnsi="宋体" w:cs="Arial"/>
          <w:color w:val="auto"/>
          <w:kern w:val="0"/>
          <w:highlight w:val="none"/>
        </w:rPr>
        <w:t>越城区公共资源交易平台（</w:t>
      </w:r>
      <w:r>
        <w:rPr>
          <w:rFonts w:ascii="宋体" w:hAnsi="宋体" w:cs="Arial"/>
          <w:color w:val="auto"/>
          <w:kern w:val="0"/>
          <w:highlight w:val="none"/>
        </w:rPr>
        <w:t>http://220.191.224.183:8081/TPBidder</w:t>
      </w:r>
      <w:r>
        <w:rPr>
          <w:rFonts w:hint="eastAsia" w:ascii="宋体" w:hAnsi="宋体" w:cs="Arial"/>
          <w:color w:val="auto"/>
          <w:kern w:val="0"/>
          <w:highlight w:val="none"/>
        </w:rPr>
        <w:t>）自行下载招标文件</w:t>
      </w:r>
      <w:r>
        <w:rPr>
          <w:rFonts w:ascii="宋体" w:hAnsi="宋体" w:cs="Arial"/>
          <w:color w:val="auto"/>
          <w:kern w:val="0"/>
          <w:highlight w:val="none"/>
        </w:rPr>
        <w:t>，</w:t>
      </w:r>
      <w:r>
        <w:rPr>
          <w:rFonts w:hint="eastAsia" w:ascii="宋体" w:hAnsi="宋体"/>
          <w:color w:val="auto"/>
          <w:highlight w:val="none"/>
        </w:rPr>
        <w:t>截止期后交易平台不再提供下载服务；未在规定时间内获取招标文件的，不接受其投标。</w:t>
      </w:r>
    </w:p>
    <w:p>
      <w:pPr>
        <w:widowControl/>
        <w:spacing w:line="360" w:lineRule="auto"/>
        <w:rPr>
          <w:rFonts w:ascii="宋体" w:hAnsi="宋体" w:cs="Arial"/>
          <w:color w:val="auto"/>
          <w:kern w:val="0"/>
          <w:highlight w:val="none"/>
        </w:rPr>
      </w:pPr>
      <w:r>
        <w:rPr>
          <w:rFonts w:ascii="宋体" w:hAnsi="宋体" w:cs="宋体"/>
          <w:color w:val="auto"/>
          <w:kern w:val="0"/>
          <w:highlight w:val="none"/>
        </w:rPr>
        <w:t>5.3</w:t>
      </w:r>
      <w:r>
        <w:rPr>
          <w:rFonts w:hint="eastAsia" w:ascii="宋体" w:hAnsi="宋体" w:cs="宋体"/>
          <w:color w:val="auto"/>
          <w:kern w:val="0"/>
          <w:highlight w:val="none"/>
        </w:rPr>
        <w:t>资格预审文件工本费</w:t>
      </w:r>
      <w:r>
        <w:rPr>
          <w:rFonts w:ascii="宋体" w:hAnsi="宋体" w:cs="宋体"/>
          <w:color w:val="auto"/>
          <w:kern w:val="0"/>
          <w:highlight w:val="none"/>
          <w:u w:val="single"/>
        </w:rPr>
        <w:t>/</w:t>
      </w:r>
      <w:r>
        <w:rPr>
          <w:rFonts w:hint="eastAsia" w:ascii="宋体" w:hAnsi="宋体" w:cs="宋体"/>
          <w:color w:val="auto"/>
          <w:kern w:val="0"/>
          <w:highlight w:val="none"/>
        </w:rPr>
        <w:t>元；招标文件工本费：</w:t>
      </w:r>
      <w:r>
        <w:rPr>
          <w:rFonts w:ascii="宋体" w:hAnsi="宋体" w:cs="宋体"/>
          <w:color w:val="auto"/>
          <w:kern w:val="0"/>
          <w:highlight w:val="none"/>
          <w:u w:val="single"/>
        </w:rPr>
        <w:t xml:space="preserve"> / </w:t>
      </w:r>
      <w:r>
        <w:rPr>
          <w:rFonts w:hint="eastAsia" w:ascii="宋体" w:hAnsi="宋体" w:cs="宋体"/>
          <w:color w:val="auto"/>
          <w:kern w:val="0"/>
          <w:highlight w:val="none"/>
        </w:rPr>
        <w:t>元。</w:t>
      </w:r>
    </w:p>
    <w:p>
      <w:pPr>
        <w:widowControl/>
        <w:spacing w:line="360" w:lineRule="auto"/>
        <w:rPr>
          <w:rFonts w:ascii="宋体" w:hAnsi="宋体" w:cs="??"/>
          <w:b/>
          <w:bCs/>
          <w:color w:val="auto"/>
          <w:kern w:val="0"/>
          <w:highlight w:val="none"/>
        </w:rPr>
      </w:pPr>
      <w:bookmarkStart w:id="9" w:name="_Toc351330865"/>
      <w:r>
        <w:rPr>
          <w:rFonts w:ascii="宋体" w:hAnsi="宋体" w:cs="??"/>
          <w:b/>
          <w:bCs/>
          <w:color w:val="auto"/>
          <w:kern w:val="44"/>
          <w:highlight w:val="none"/>
        </w:rPr>
        <w:t>6</w:t>
      </w:r>
      <w:r>
        <w:rPr>
          <w:rFonts w:hint="eastAsia" w:ascii="宋体" w:hAnsi="宋体" w:cs="宋体"/>
          <w:b/>
          <w:bCs/>
          <w:color w:val="auto"/>
          <w:kern w:val="44"/>
          <w:highlight w:val="none"/>
        </w:rPr>
        <w:t>．投标保证金</w:t>
      </w:r>
      <w:bookmarkEnd w:id="9"/>
    </w:p>
    <w:p>
      <w:pPr>
        <w:pStyle w:val="8"/>
        <w:shd w:val="clear" w:color="auto" w:fill="FFFFFF"/>
        <w:spacing w:line="360" w:lineRule="auto"/>
        <w:ind w:firstLine="420" w:firstLineChars="200"/>
        <w:rPr>
          <w:color w:val="auto"/>
          <w:sz w:val="21"/>
          <w:szCs w:val="21"/>
          <w:highlight w:val="none"/>
        </w:rPr>
      </w:pPr>
      <w:bookmarkStart w:id="10" w:name="_Toc351330866"/>
      <w:r>
        <w:rPr>
          <w:rFonts w:cs="Arial"/>
          <w:color w:val="auto"/>
          <w:sz w:val="21"/>
          <w:szCs w:val="21"/>
          <w:highlight w:val="none"/>
        </w:rPr>
        <w:t>本</w:t>
      </w:r>
      <w:r>
        <w:rPr>
          <w:rFonts w:hint="eastAsia" w:cs="Arial"/>
          <w:color w:val="auto"/>
          <w:sz w:val="21"/>
          <w:szCs w:val="21"/>
          <w:highlight w:val="none"/>
        </w:rPr>
        <w:t>项目</w:t>
      </w:r>
      <w:r>
        <w:rPr>
          <w:rFonts w:cs="Arial"/>
          <w:color w:val="auto"/>
          <w:sz w:val="21"/>
          <w:szCs w:val="21"/>
          <w:highlight w:val="none"/>
        </w:rPr>
        <w:t>需缴纳投标保证金</w:t>
      </w:r>
      <w:r>
        <w:rPr>
          <w:rFonts w:hint="eastAsia" w:cs="Arial"/>
          <w:color w:val="auto"/>
          <w:sz w:val="21"/>
          <w:szCs w:val="21"/>
          <w:highlight w:val="none"/>
          <w:u w:val="single"/>
          <w:lang w:eastAsia="zh-CN"/>
        </w:rPr>
        <w:t>三</w:t>
      </w:r>
      <w:r>
        <w:rPr>
          <w:rFonts w:hint="eastAsia" w:cs="Arial"/>
          <w:color w:val="auto"/>
          <w:sz w:val="21"/>
          <w:szCs w:val="21"/>
          <w:highlight w:val="none"/>
          <w:u w:val="single"/>
        </w:rPr>
        <w:t>万</w:t>
      </w:r>
      <w:r>
        <w:rPr>
          <w:rFonts w:cs="Arial"/>
          <w:color w:val="auto"/>
          <w:sz w:val="21"/>
          <w:szCs w:val="21"/>
          <w:highlight w:val="none"/>
        </w:rPr>
        <w:t>元</w:t>
      </w:r>
      <w:r>
        <w:rPr>
          <w:rFonts w:hint="eastAsia" w:cs="Arial"/>
          <w:color w:val="auto"/>
          <w:sz w:val="21"/>
          <w:szCs w:val="21"/>
          <w:highlight w:val="none"/>
        </w:rPr>
        <w:t>，</w:t>
      </w:r>
      <w:r>
        <w:rPr>
          <w:rFonts w:hint="eastAsia"/>
          <w:color w:val="auto"/>
          <w:sz w:val="21"/>
          <w:szCs w:val="21"/>
          <w:highlight w:val="none"/>
        </w:rPr>
        <w:t>投标保证金在投标人自行获取招标文件后，在</w:t>
      </w:r>
      <w:r>
        <w:rPr>
          <w:rFonts w:hint="eastAsia"/>
          <w:color w:val="auto"/>
          <w:sz w:val="21"/>
          <w:szCs w:val="21"/>
          <w:highlight w:val="none"/>
          <w:u w:val="single"/>
        </w:rPr>
        <w:t>2022</w:t>
      </w:r>
      <w:r>
        <w:rPr>
          <w:rFonts w:hint="eastAsia"/>
          <w:color w:val="auto"/>
          <w:sz w:val="21"/>
          <w:szCs w:val="21"/>
          <w:highlight w:val="none"/>
        </w:rPr>
        <w:t>年月日</w:t>
      </w:r>
      <w:r>
        <w:rPr>
          <w:rFonts w:hint="eastAsia"/>
          <w:color w:val="auto"/>
          <w:sz w:val="21"/>
          <w:szCs w:val="21"/>
          <w:highlight w:val="none"/>
          <w:u w:val="single"/>
        </w:rPr>
        <w:t>17:</w:t>
      </w:r>
      <w:r>
        <w:rPr>
          <w:rFonts w:hint="eastAsia"/>
          <w:color w:val="auto"/>
          <w:sz w:val="21"/>
          <w:szCs w:val="21"/>
          <w:highlight w:val="none"/>
          <w:u w:val="single"/>
          <w:lang w:eastAsia="zh-CN"/>
        </w:rPr>
        <w:t>3</w:t>
      </w:r>
      <w:r>
        <w:rPr>
          <w:rFonts w:hint="eastAsia"/>
          <w:color w:val="auto"/>
          <w:sz w:val="21"/>
          <w:szCs w:val="21"/>
          <w:highlight w:val="none"/>
          <w:u w:val="single"/>
        </w:rPr>
        <w:t>0</w:t>
      </w:r>
      <w:r>
        <w:rPr>
          <w:rFonts w:hint="eastAsia"/>
          <w:color w:val="auto"/>
          <w:sz w:val="21"/>
          <w:szCs w:val="21"/>
          <w:highlight w:val="none"/>
        </w:rPr>
        <w:t>时前缴纳。缴纳方式为：</w:t>
      </w:r>
    </w:p>
    <w:p>
      <w:pPr>
        <w:pStyle w:val="8"/>
        <w:shd w:val="clear" w:color="auto" w:fill="FFFFFF"/>
        <w:spacing w:line="360" w:lineRule="auto"/>
        <w:ind w:firstLine="420" w:firstLineChars="200"/>
        <w:rPr>
          <w:rFonts w:cs="Arial"/>
          <w:color w:val="auto"/>
          <w:sz w:val="21"/>
          <w:szCs w:val="21"/>
          <w:highlight w:val="none"/>
        </w:rPr>
      </w:pPr>
      <w:r>
        <w:rPr>
          <w:rFonts w:hint="eastAsia"/>
          <w:color w:val="auto"/>
          <w:sz w:val="21"/>
          <w:szCs w:val="21"/>
          <w:highlight w:val="none"/>
        </w:rPr>
        <w:t>6.1投标人基本账户开具的银行票据，即汇票、电汇、转账支票等(不包括现金）。</w:t>
      </w:r>
      <w:r>
        <w:rPr>
          <w:rFonts w:hint="eastAsia" w:cs="Arial"/>
          <w:color w:val="auto"/>
          <w:sz w:val="21"/>
          <w:szCs w:val="21"/>
          <w:highlight w:val="none"/>
        </w:rPr>
        <w:t>保证金缴入账户共二个，企业可自主选择其中一个账户缴纳（</w:t>
      </w:r>
      <w:r>
        <w:rPr>
          <w:rFonts w:cs="Arial"/>
          <w:color w:val="auto"/>
          <w:sz w:val="21"/>
          <w:szCs w:val="21"/>
          <w:highlight w:val="none"/>
        </w:rPr>
        <w:t>账</w:t>
      </w:r>
      <w:r>
        <w:rPr>
          <w:rFonts w:hint="eastAsia" w:cs="Arial"/>
          <w:color w:val="auto"/>
          <w:sz w:val="21"/>
          <w:szCs w:val="21"/>
          <w:highlight w:val="none"/>
        </w:rPr>
        <w:t>号在中心现有建设项目保证金专户下按照项目动态随机生成）：</w:t>
      </w:r>
    </w:p>
    <w:p>
      <w:pPr>
        <w:pStyle w:val="8"/>
        <w:shd w:val="clear" w:color="auto" w:fill="FFFFFF"/>
        <w:spacing w:line="360" w:lineRule="auto"/>
        <w:ind w:firstLine="420" w:firstLineChars="200"/>
        <w:rPr>
          <w:rStyle w:val="32"/>
          <w:rFonts w:ascii="微软雅黑" w:hAnsi="微软雅黑" w:eastAsia="微软雅黑" w:cs="Tahoma"/>
          <w:color w:val="auto"/>
          <w:kern w:val="2"/>
          <w:sz w:val="22"/>
          <w:szCs w:val="22"/>
          <w:highlight w:val="none"/>
        </w:rPr>
      </w:pPr>
      <w:r>
        <w:rPr>
          <w:rFonts w:hint="eastAsia" w:cs="Arial"/>
          <w:color w:val="auto"/>
          <w:sz w:val="21"/>
          <w:szCs w:val="21"/>
          <w:highlight w:val="none"/>
        </w:rPr>
        <w:t>账户一：开户银行</w:t>
      </w:r>
      <w:r>
        <w:rPr>
          <w:rFonts w:cs="Arial"/>
          <w:color w:val="auto"/>
          <w:sz w:val="21"/>
          <w:szCs w:val="21"/>
          <w:highlight w:val="none"/>
        </w:rPr>
        <w:t>名称</w:t>
      </w:r>
      <w:r>
        <w:rPr>
          <w:rFonts w:hint="eastAsia" w:cs="Arial"/>
          <w:color w:val="auto"/>
          <w:sz w:val="21"/>
          <w:szCs w:val="21"/>
          <w:highlight w:val="none"/>
        </w:rPr>
        <w:t>：中国建设银行股份有限公司绍兴越城支行，</w:t>
      </w:r>
      <w:r>
        <w:rPr>
          <w:rFonts w:cs="Arial"/>
          <w:color w:val="auto"/>
          <w:sz w:val="21"/>
          <w:szCs w:val="21"/>
          <w:highlight w:val="none"/>
        </w:rPr>
        <w:t>账户</w:t>
      </w:r>
      <w:r>
        <w:rPr>
          <w:rFonts w:hint="eastAsia" w:cs="Arial"/>
          <w:color w:val="auto"/>
          <w:sz w:val="21"/>
          <w:szCs w:val="21"/>
          <w:highlight w:val="none"/>
        </w:rPr>
        <w:t>名称：绍兴市公共资源交易中心越城区分中心保证金专户，</w:t>
      </w:r>
      <w:r>
        <w:rPr>
          <w:rFonts w:cs="Arial"/>
          <w:color w:val="auto"/>
          <w:sz w:val="21"/>
          <w:szCs w:val="21"/>
          <w:highlight w:val="none"/>
        </w:rPr>
        <w:t>账</w:t>
      </w:r>
      <w:r>
        <w:rPr>
          <w:rFonts w:hint="eastAsia" w:cs="Arial"/>
          <w:color w:val="auto"/>
          <w:sz w:val="21"/>
          <w:szCs w:val="21"/>
          <w:highlight w:val="none"/>
        </w:rPr>
        <w:t>号</w:t>
      </w:r>
      <w:r>
        <w:rPr>
          <w:rStyle w:val="32"/>
          <w:rFonts w:hint="eastAsia" w:ascii="微软雅黑" w:hAnsi="微软雅黑" w:eastAsia="微软雅黑" w:cs="Tahoma"/>
          <w:color w:val="auto"/>
          <w:sz w:val="22"/>
          <w:szCs w:val="22"/>
          <w:highlight w:val="none"/>
        </w:rPr>
        <w:t>：</w:t>
      </w:r>
      <w:r>
        <w:rPr>
          <w:rStyle w:val="32"/>
          <w:rFonts w:hint="eastAsia" w:ascii="微软雅黑" w:hAnsi="微软雅黑" w:eastAsia="微软雅黑" w:cs="Tahoma"/>
          <w:color w:val="auto"/>
          <w:sz w:val="22"/>
          <w:szCs w:val="22"/>
          <w:highlight w:val="none"/>
          <w:u w:val="single"/>
        </w:rPr>
        <w:t xml:space="preserve"> </w:t>
      </w:r>
      <w:r>
        <w:rPr>
          <w:rFonts w:hint="eastAsia" w:ascii="宋体" w:hAnsi="宋体" w:cs="Arial" w:eastAsiaTheme="minorEastAsia"/>
          <w:color w:val="auto"/>
          <w:kern w:val="0"/>
          <w:sz w:val="21"/>
          <w:szCs w:val="22"/>
          <w:highlight w:val="none"/>
          <w:u w:val="single"/>
          <w:lang w:val="en-US" w:eastAsia="zh-CN" w:bidi="ar-SA"/>
        </w:rPr>
        <w:t xml:space="preserve"> 6232511450398881 </w:t>
      </w:r>
      <w:r>
        <w:rPr>
          <w:rStyle w:val="32"/>
          <w:rFonts w:hint="eastAsia" w:ascii="微软雅黑" w:hAnsi="微软雅黑" w:eastAsia="微软雅黑" w:cs="Tahoma"/>
          <w:color w:val="auto"/>
          <w:sz w:val="22"/>
          <w:szCs w:val="22"/>
          <w:highlight w:val="none"/>
          <w:u w:val="single"/>
        </w:rPr>
        <w:t xml:space="preserve">  。</w:t>
      </w:r>
    </w:p>
    <w:p>
      <w:pPr>
        <w:widowControl/>
        <w:shd w:val="clear" w:color="auto" w:fill="FFFFFF"/>
        <w:spacing w:before="150" w:after="150" w:line="390" w:lineRule="atLeast"/>
        <w:jc w:val="left"/>
        <w:rPr>
          <w:rFonts w:cs="Arial"/>
          <w:color w:val="auto"/>
          <w:highlight w:val="none"/>
        </w:rPr>
      </w:pPr>
      <w:r>
        <w:rPr>
          <w:rFonts w:hint="eastAsia" w:cs="Arial"/>
          <w:color w:val="auto"/>
          <w:highlight w:val="none"/>
        </w:rPr>
        <w:t>账户二：</w:t>
      </w:r>
      <w:r>
        <w:rPr>
          <w:rFonts w:cs="Arial"/>
          <w:color w:val="auto"/>
          <w:highlight w:val="none"/>
        </w:rPr>
        <w:t>开户银行名称：中信银行绍兴城东支行</w:t>
      </w:r>
      <w:r>
        <w:rPr>
          <w:rFonts w:hint="eastAsia" w:cs="Arial"/>
          <w:color w:val="auto"/>
          <w:highlight w:val="none"/>
        </w:rPr>
        <w:t>，</w:t>
      </w:r>
      <w:r>
        <w:rPr>
          <w:rFonts w:cs="Arial"/>
          <w:color w:val="auto"/>
          <w:highlight w:val="none"/>
        </w:rPr>
        <w:t>账户名称：绍兴市公共资源交易中心越城区分中心保证金专户</w:t>
      </w:r>
      <w:r>
        <w:rPr>
          <w:rFonts w:hint="eastAsia" w:cs="Arial"/>
          <w:color w:val="auto"/>
          <w:highlight w:val="none"/>
        </w:rPr>
        <w:t>，</w:t>
      </w:r>
      <w:r>
        <w:rPr>
          <w:rFonts w:cs="Arial"/>
          <w:color w:val="auto"/>
          <w:highlight w:val="none"/>
        </w:rPr>
        <w:t>账号</w:t>
      </w:r>
      <w:r>
        <w:rPr>
          <w:rFonts w:hint="eastAsia" w:ascii="宋体" w:hAnsi="宋体" w:cs="Arial"/>
          <w:color w:val="auto"/>
          <w:kern w:val="0"/>
          <w:highlight w:val="none"/>
          <w:u w:val="single"/>
        </w:rPr>
        <w:t xml:space="preserve">：3110810044511668740 </w:t>
      </w:r>
      <w:r>
        <w:rPr>
          <w:rFonts w:hint="eastAsia" w:cs="Arial"/>
          <w:color w:val="auto"/>
          <w:highlight w:val="none"/>
        </w:rPr>
        <w:t>。</w:t>
      </w:r>
    </w:p>
    <w:p>
      <w:pPr>
        <w:spacing w:line="360" w:lineRule="auto"/>
        <w:ind w:firstLine="412"/>
        <w:rPr>
          <w:rFonts w:ascii="宋体" w:hAnsi="宋体"/>
          <w:color w:val="auto"/>
          <w:spacing w:val="-2"/>
          <w:sz w:val="20"/>
          <w:szCs w:val="20"/>
          <w:highlight w:val="none"/>
        </w:rPr>
      </w:pPr>
      <w:r>
        <w:rPr>
          <w:rFonts w:hint="eastAsia" w:ascii="宋体" w:hAnsi="宋体"/>
          <w:color w:val="auto"/>
          <w:spacing w:val="-2"/>
          <w:highlight w:val="none"/>
        </w:rPr>
        <w:t>6.2</w:t>
      </w:r>
      <w:r>
        <w:rPr>
          <w:rFonts w:hint="eastAsia" w:ascii="宋体" w:hAnsi="宋体"/>
          <w:color w:val="auto"/>
          <w:highlight w:val="none"/>
        </w:rPr>
        <w:t>招标人接受投标保证金电子保险保函。投标人自行在</w:t>
      </w:r>
      <w:r>
        <w:rPr>
          <w:rFonts w:hint="eastAsia" w:ascii="宋体" w:hAnsi="宋体" w:cs="Arial"/>
          <w:color w:val="auto"/>
          <w:kern w:val="0"/>
          <w:highlight w:val="none"/>
        </w:rPr>
        <w:t>越城区公共资源交易平台</w:t>
      </w:r>
      <w:r>
        <w:rPr>
          <w:rFonts w:hint="eastAsia" w:ascii="宋体" w:hAnsi="宋体"/>
          <w:color w:val="auto"/>
          <w:highlight w:val="none"/>
        </w:rPr>
        <w:t>（</w:t>
      </w:r>
      <w:r>
        <w:rPr>
          <w:rFonts w:ascii="宋体" w:hAnsi="宋体" w:cs="Arial"/>
          <w:color w:val="auto"/>
          <w:kern w:val="0"/>
          <w:highlight w:val="none"/>
          <w:u w:val="single"/>
        </w:rPr>
        <w:t>http://220.191.224.183:8081/TPBidder/</w:t>
      </w:r>
      <w:r>
        <w:rPr>
          <w:rFonts w:hint="eastAsia" w:ascii="宋体" w:hAnsi="宋体"/>
          <w:color w:val="auto"/>
          <w:highlight w:val="none"/>
        </w:rPr>
        <w:t>）中自主选择办理。保险保函费用必须从投标人企业基本账户转出，并在投标保证金缴纳截止时间前办妥保险保函手续</w:t>
      </w:r>
      <w:r>
        <w:rPr>
          <w:rFonts w:hint="eastAsia" w:ascii="宋体" w:hAnsi="宋体"/>
          <w:color w:val="auto"/>
          <w:spacing w:val="-2"/>
          <w:sz w:val="20"/>
          <w:szCs w:val="20"/>
          <w:highlight w:val="none"/>
        </w:rPr>
        <w:t>。</w:t>
      </w:r>
    </w:p>
    <w:p>
      <w:pPr>
        <w:widowControl/>
        <w:spacing w:line="360" w:lineRule="auto"/>
        <w:rPr>
          <w:rFonts w:ascii="宋体" w:hAnsi="宋体" w:cs="??"/>
          <w:b/>
          <w:bCs/>
          <w:color w:val="auto"/>
          <w:kern w:val="0"/>
          <w:highlight w:val="none"/>
        </w:rPr>
      </w:pPr>
      <w:r>
        <w:rPr>
          <w:rFonts w:hint="eastAsia" w:ascii="宋体" w:hAnsi="宋体" w:cs="??"/>
          <w:b/>
          <w:bCs/>
          <w:color w:val="auto"/>
          <w:kern w:val="44"/>
          <w:highlight w:val="none"/>
        </w:rPr>
        <w:t>7</w:t>
      </w:r>
      <w:r>
        <w:rPr>
          <w:rFonts w:ascii="宋体" w:hAnsi="宋体" w:cs="??"/>
          <w:b/>
          <w:bCs/>
          <w:color w:val="auto"/>
          <w:kern w:val="44"/>
          <w:highlight w:val="none"/>
        </w:rPr>
        <w:t>.</w:t>
      </w:r>
      <w:bookmarkStart w:id="11" w:name="_Toc327362337"/>
      <w:bookmarkStart w:id="12" w:name="_Toc318970234"/>
      <w:bookmarkStart w:id="13" w:name="_Toc343358170"/>
      <w:bookmarkStart w:id="14" w:name="_Toc342382968"/>
      <w:bookmarkStart w:id="15" w:name="_Toc327360962"/>
      <w:bookmarkStart w:id="16" w:name="_Toc318378401"/>
      <w:bookmarkStart w:id="17" w:name="_Toc327362054"/>
      <w:bookmarkStart w:id="18" w:name="_Toc330813058"/>
      <w:r>
        <w:rPr>
          <w:rFonts w:hint="eastAsia" w:ascii="宋体" w:hAnsi="宋体" w:cs="宋体"/>
          <w:b/>
          <w:bCs/>
          <w:color w:val="auto"/>
          <w:kern w:val="44"/>
          <w:highlight w:val="none"/>
        </w:rPr>
        <w:t>其他有关内容</w:t>
      </w:r>
      <w:bookmarkEnd w:id="10"/>
      <w:bookmarkEnd w:id="11"/>
      <w:bookmarkEnd w:id="12"/>
      <w:bookmarkEnd w:id="13"/>
      <w:bookmarkEnd w:id="14"/>
      <w:bookmarkEnd w:id="15"/>
      <w:bookmarkEnd w:id="16"/>
      <w:bookmarkEnd w:id="17"/>
      <w:bookmarkEnd w:id="18"/>
    </w:p>
    <w:p>
      <w:pPr>
        <w:widowControl/>
        <w:spacing w:line="360" w:lineRule="auto"/>
        <w:jc w:val="left"/>
        <w:rPr>
          <w:rFonts w:ascii="宋体" w:hAnsi="宋体" w:cs="??"/>
          <w:color w:val="auto"/>
          <w:kern w:val="0"/>
          <w:highlight w:val="none"/>
        </w:rPr>
      </w:pPr>
      <w:r>
        <w:rPr>
          <w:rFonts w:hint="eastAsia" w:ascii="宋体" w:hAnsi="宋体" w:cs="??"/>
          <w:color w:val="auto"/>
          <w:kern w:val="0"/>
          <w:highlight w:val="none"/>
        </w:rPr>
        <w:t>7</w:t>
      </w:r>
      <w:r>
        <w:rPr>
          <w:rFonts w:ascii="宋体" w:hAnsi="宋体" w:cs="??"/>
          <w:color w:val="auto"/>
          <w:kern w:val="0"/>
          <w:highlight w:val="none"/>
        </w:rPr>
        <w:t>.1</w:t>
      </w:r>
      <w:r>
        <w:rPr>
          <w:rFonts w:hint="eastAsia" w:ascii="宋体" w:hAnsi="宋体" w:cs="宋体"/>
          <w:color w:val="auto"/>
          <w:kern w:val="0"/>
          <w:highlight w:val="none"/>
        </w:rPr>
        <w:t>评标入围方法：</w:t>
      </w:r>
      <w:r>
        <w:rPr>
          <w:rFonts w:hint="eastAsia" w:ascii="宋体" w:hAnsi="宋体" w:cs="宋体"/>
          <w:color w:val="auto"/>
          <w:kern w:val="0"/>
          <w:highlight w:val="none"/>
          <w:u w:val="single"/>
        </w:rPr>
        <w:t>入围10家</w:t>
      </w:r>
      <w:r>
        <w:rPr>
          <w:rFonts w:hint="eastAsia" w:ascii="宋体" w:hAnsi="宋体" w:cs="宋体"/>
          <w:color w:val="auto"/>
          <w:kern w:val="0"/>
          <w:highlight w:val="none"/>
        </w:rPr>
        <w:t>。</w:t>
      </w:r>
    </w:p>
    <w:p>
      <w:pPr>
        <w:widowControl/>
        <w:spacing w:line="360" w:lineRule="auto"/>
        <w:ind w:right="-57" w:rightChars="-27"/>
        <w:jc w:val="left"/>
        <w:rPr>
          <w:rFonts w:ascii="宋体" w:hAnsi="宋体" w:cs="??"/>
          <w:color w:val="auto"/>
          <w:kern w:val="0"/>
          <w:highlight w:val="none"/>
        </w:rPr>
      </w:pPr>
      <w:r>
        <w:rPr>
          <w:rFonts w:hint="eastAsia" w:ascii="宋体" w:hAnsi="宋体" w:cs="??"/>
          <w:color w:val="auto"/>
          <w:kern w:val="0"/>
          <w:highlight w:val="none"/>
        </w:rPr>
        <w:t>7</w:t>
      </w:r>
      <w:r>
        <w:rPr>
          <w:rFonts w:ascii="宋体" w:hAnsi="宋体" w:cs="??"/>
          <w:color w:val="auto"/>
          <w:kern w:val="0"/>
          <w:highlight w:val="none"/>
        </w:rPr>
        <w:t>.2</w:t>
      </w:r>
      <w:r>
        <w:rPr>
          <w:rFonts w:hint="eastAsia" w:ascii="宋体" w:hAnsi="宋体" w:cs="宋体"/>
          <w:color w:val="auto"/>
          <w:kern w:val="0"/>
          <w:highlight w:val="none"/>
        </w:rPr>
        <w:t>投标文件的递交：投标文件递交的截止时间为</w:t>
      </w:r>
      <w:r>
        <w:rPr>
          <w:rFonts w:hint="eastAsia" w:ascii="宋体" w:hAnsi="宋体" w:cs="??"/>
          <w:color w:val="auto"/>
          <w:kern w:val="0"/>
          <w:highlight w:val="none"/>
          <w:u w:val="single"/>
        </w:rPr>
        <w:t>2022</w:t>
      </w:r>
      <w:r>
        <w:rPr>
          <w:rFonts w:hint="eastAsia" w:ascii="宋体" w:hAnsi="宋体" w:cs="宋体"/>
          <w:color w:val="auto"/>
          <w:kern w:val="0"/>
          <w:highlight w:val="none"/>
        </w:rPr>
        <w:t>年</w:t>
      </w:r>
      <w:r>
        <w:rPr>
          <w:rFonts w:hint="eastAsia" w:ascii="宋体" w:hAnsi="宋体" w:cs="宋体"/>
          <w:color w:val="auto"/>
          <w:kern w:val="0"/>
          <w:highlight w:val="none"/>
          <w:u w:val="single"/>
        </w:rPr>
        <w:t xml:space="preserve">  </w:t>
      </w:r>
      <w:r>
        <w:rPr>
          <w:rFonts w:hint="eastAsia" w:ascii="宋体" w:hAnsi="宋体" w:cs="宋体"/>
          <w:color w:val="auto"/>
          <w:kern w:val="0"/>
          <w:highlight w:val="none"/>
        </w:rPr>
        <w:t>月</w:t>
      </w:r>
      <w:r>
        <w:rPr>
          <w:rFonts w:hint="eastAsia" w:ascii="宋体" w:hAnsi="宋体" w:cs="宋体"/>
          <w:color w:val="auto"/>
          <w:kern w:val="0"/>
          <w:highlight w:val="none"/>
          <w:u w:val="single"/>
        </w:rPr>
        <w:t xml:space="preserve">  </w:t>
      </w:r>
      <w:r>
        <w:rPr>
          <w:rFonts w:hint="eastAsia" w:ascii="宋体" w:hAnsi="宋体" w:cs="宋体"/>
          <w:color w:val="auto"/>
          <w:kern w:val="0"/>
          <w:highlight w:val="none"/>
        </w:rPr>
        <w:t>日09时30分，地点为</w:t>
      </w:r>
      <w:r>
        <w:rPr>
          <w:rFonts w:ascii="宋体" w:hAnsi="宋体" w:cs="??"/>
          <w:color w:val="auto"/>
          <w:kern w:val="0"/>
          <w:highlight w:val="none"/>
        </w:rPr>
        <w:t>:</w:t>
      </w:r>
      <w:r>
        <w:rPr>
          <w:rFonts w:hint="eastAsia" w:ascii="宋体" w:hAnsi="宋体" w:cs="宋体"/>
          <w:color w:val="auto"/>
          <w:kern w:val="0"/>
          <w:highlight w:val="none"/>
          <w:u w:val="single"/>
        </w:rPr>
        <w:t>绍兴市公共资源交易中心越城分中心</w:t>
      </w:r>
      <w:r>
        <w:rPr>
          <w:rFonts w:hint="eastAsia" w:ascii="宋体" w:hAnsi="宋体" w:cs="Arial"/>
          <w:color w:val="auto"/>
          <w:kern w:val="0"/>
          <w:highlight w:val="none"/>
          <w:u w:val="single"/>
        </w:rPr>
        <w:t>三楼指定开标室</w:t>
      </w:r>
      <w:r>
        <w:rPr>
          <w:rFonts w:hint="eastAsia" w:ascii="宋体" w:hAnsi="宋体" w:cs="宋体"/>
          <w:color w:val="auto"/>
          <w:kern w:val="0"/>
          <w:highlight w:val="none"/>
        </w:rPr>
        <w:t>。</w:t>
      </w:r>
      <w:r>
        <w:rPr>
          <w:rFonts w:hint="eastAsia" w:ascii="宋体" w:hAnsi="宋体" w:cs="??"/>
          <w:color w:val="auto"/>
          <w:kern w:val="0"/>
          <w:highlight w:val="none"/>
        </w:rPr>
        <w:t>（本项目采用“不见面”开标方式，不强制要求投标人参加现场开标会）</w:t>
      </w:r>
    </w:p>
    <w:p>
      <w:pPr>
        <w:widowControl/>
        <w:spacing w:line="360" w:lineRule="auto"/>
        <w:ind w:right="-57" w:rightChars="-27"/>
        <w:jc w:val="left"/>
        <w:rPr>
          <w:rFonts w:ascii="宋体" w:hAnsi="宋体" w:cs="??"/>
          <w:b/>
          <w:bCs/>
          <w:color w:val="auto"/>
          <w:kern w:val="0"/>
          <w:highlight w:val="none"/>
        </w:rPr>
      </w:pPr>
      <w:r>
        <w:rPr>
          <w:rFonts w:hint="eastAsia" w:ascii="宋体" w:hAnsi="宋体" w:cs="??"/>
          <w:b/>
          <w:bCs/>
          <w:color w:val="auto"/>
          <w:kern w:val="0"/>
          <w:highlight w:val="none"/>
        </w:rPr>
        <w:t>不见面开标大厅网址为：http://220.191.224.188/BidOpening/bidopeninghallaction/hall/login，建议使用 IE11 浏览器访问。各投标人请使用越城区工程建设项目专用数字证书 CA 锁登录，在线参与开标活动。不要求提交非加密电子投标文件。在投标截止时间前，将由新点的“浙江省投标文件制作工具（越城版）”生成的加密投标文件上传至绍兴市公共资源交易中心越城区区分中心电子招投标交易平台。）</w:t>
      </w:r>
    </w:p>
    <w:p>
      <w:pPr>
        <w:pStyle w:val="29"/>
        <w:tabs>
          <w:tab w:val="left" w:pos="1138"/>
        </w:tabs>
        <w:spacing w:before="91" w:line="360" w:lineRule="auto"/>
        <w:ind w:firstLine="0" w:firstLineChars="0"/>
        <w:jc w:val="left"/>
        <w:rPr>
          <w:rFonts w:ascii="宋体" w:hAnsi="宋体"/>
          <w:color w:val="auto"/>
          <w:highlight w:val="none"/>
          <w:u w:val="single"/>
        </w:rPr>
      </w:pPr>
      <w:r>
        <w:rPr>
          <w:rFonts w:hint="eastAsia" w:ascii="宋体" w:hAnsi="宋体" w:cs="??"/>
          <w:color w:val="auto"/>
          <w:kern w:val="0"/>
          <w:highlight w:val="none"/>
        </w:rPr>
        <w:t>7.3评标办法：</w:t>
      </w:r>
      <w:r>
        <w:rPr>
          <w:rFonts w:ascii="宋体" w:hAnsi="宋体"/>
          <w:color w:val="auto"/>
          <w:spacing w:val="-3"/>
          <w:highlight w:val="none"/>
          <w:u w:val="single"/>
        </w:rPr>
        <w:t>综合评估法</w:t>
      </w:r>
      <w:r>
        <w:rPr>
          <w:rFonts w:ascii="宋体" w:hAnsi="宋体"/>
          <w:color w:val="auto"/>
          <w:highlight w:val="none"/>
          <w:u w:val="single"/>
        </w:rPr>
        <w:t>（</w:t>
      </w:r>
      <w:r>
        <w:rPr>
          <w:rFonts w:hint="eastAsia" w:ascii="宋体" w:hAnsi="宋体"/>
          <w:color w:val="auto"/>
          <w:highlight w:val="none"/>
          <w:u w:val="single"/>
        </w:rPr>
        <w:t>不</w:t>
      </w:r>
      <w:r>
        <w:rPr>
          <w:rFonts w:ascii="宋体" w:hAnsi="宋体"/>
          <w:color w:val="auto"/>
          <w:spacing w:val="-3"/>
          <w:highlight w:val="none"/>
          <w:u w:val="single"/>
        </w:rPr>
        <w:t>设技术标</w:t>
      </w:r>
      <w:r>
        <w:rPr>
          <w:rFonts w:ascii="宋体" w:hAnsi="宋体"/>
          <w:color w:val="auto"/>
          <w:highlight w:val="none"/>
          <w:u w:val="single"/>
        </w:rPr>
        <w:t>），</w:t>
      </w:r>
      <w:r>
        <w:rPr>
          <w:rFonts w:ascii="宋体" w:hAnsi="宋体"/>
          <w:color w:val="auto"/>
          <w:spacing w:val="-3"/>
          <w:highlight w:val="none"/>
          <w:u w:val="single"/>
        </w:rPr>
        <w:t>本工程采用电子评标辅助系统。</w:t>
      </w:r>
    </w:p>
    <w:p>
      <w:pPr>
        <w:widowControl/>
        <w:spacing w:line="360" w:lineRule="auto"/>
        <w:rPr>
          <w:rFonts w:ascii="宋体" w:hAnsi="宋体" w:cs="??"/>
          <w:b/>
          <w:bCs/>
          <w:color w:val="auto"/>
          <w:kern w:val="0"/>
          <w:highlight w:val="none"/>
        </w:rPr>
      </w:pPr>
      <w:bookmarkStart w:id="19" w:name="_Toc351330868"/>
      <w:bookmarkStart w:id="20" w:name="_Toc327362338"/>
      <w:bookmarkStart w:id="21" w:name="_Toc343358171"/>
      <w:bookmarkStart w:id="22" w:name="_Toc330813059"/>
      <w:bookmarkStart w:id="23" w:name="_Toc342382969"/>
      <w:bookmarkStart w:id="24" w:name="_Toc327360963"/>
      <w:bookmarkStart w:id="25" w:name="_Toc327362055"/>
      <w:bookmarkStart w:id="26" w:name="_Toc318970236"/>
      <w:bookmarkStart w:id="27" w:name="_Toc318378403"/>
      <w:r>
        <w:rPr>
          <w:rFonts w:hint="eastAsia" w:ascii="宋体" w:hAnsi="宋体" w:cs="??"/>
          <w:b/>
          <w:bCs/>
          <w:color w:val="auto"/>
          <w:kern w:val="44"/>
          <w:highlight w:val="none"/>
        </w:rPr>
        <w:t>8</w:t>
      </w:r>
      <w:r>
        <w:rPr>
          <w:rFonts w:ascii="宋体" w:hAnsi="宋体" w:cs="??"/>
          <w:b/>
          <w:bCs/>
          <w:color w:val="auto"/>
          <w:kern w:val="44"/>
          <w:highlight w:val="none"/>
        </w:rPr>
        <w:t>.</w:t>
      </w:r>
      <w:r>
        <w:rPr>
          <w:rFonts w:hint="eastAsia" w:ascii="宋体" w:hAnsi="宋体" w:cs="宋体"/>
          <w:b/>
          <w:bCs/>
          <w:color w:val="auto"/>
          <w:kern w:val="44"/>
          <w:highlight w:val="none"/>
        </w:rPr>
        <w:t>公告与招标文件不一致性</w:t>
      </w:r>
      <w:bookmarkEnd w:id="19"/>
      <w:bookmarkEnd w:id="20"/>
      <w:bookmarkEnd w:id="21"/>
      <w:bookmarkEnd w:id="22"/>
      <w:bookmarkEnd w:id="23"/>
      <w:bookmarkEnd w:id="24"/>
      <w:bookmarkEnd w:id="25"/>
      <w:bookmarkEnd w:id="26"/>
      <w:bookmarkEnd w:id="27"/>
    </w:p>
    <w:p>
      <w:pPr>
        <w:widowControl/>
        <w:spacing w:line="360" w:lineRule="auto"/>
        <w:ind w:firstLine="315" w:firstLineChars="150"/>
        <w:jc w:val="left"/>
        <w:rPr>
          <w:rFonts w:ascii="宋体" w:hAnsi="宋体" w:cs="??"/>
          <w:color w:val="auto"/>
          <w:kern w:val="0"/>
          <w:highlight w:val="none"/>
        </w:rPr>
      </w:pPr>
      <w:r>
        <w:rPr>
          <w:rFonts w:hint="eastAsia" w:ascii="宋体" w:hAnsi="宋体" w:cs="宋体"/>
          <w:color w:val="auto"/>
          <w:kern w:val="0"/>
          <w:highlight w:val="none"/>
        </w:rPr>
        <w:t>若本公告相关内容与正式发出的招标文件不一致，以正式发出的招标文件为准。</w:t>
      </w:r>
    </w:p>
    <w:p>
      <w:pPr>
        <w:widowControl/>
        <w:spacing w:line="360" w:lineRule="auto"/>
        <w:rPr>
          <w:rFonts w:ascii="宋体" w:hAnsi="宋体" w:cs="??"/>
          <w:b/>
          <w:bCs/>
          <w:color w:val="auto"/>
          <w:kern w:val="0"/>
          <w:highlight w:val="none"/>
        </w:rPr>
      </w:pPr>
      <w:r>
        <w:rPr>
          <w:rFonts w:hint="eastAsia" w:ascii="宋体" w:hAnsi="宋体" w:cs="??"/>
          <w:b/>
          <w:bCs/>
          <w:color w:val="auto"/>
          <w:kern w:val="44"/>
          <w:highlight w:val="none"/>
        </w:rPr>
        <w:t>9</w:t>
      </w:r>
      <w:r>
        <w:rPr>
          <w:rFonts w:ascii="宋体" w:hAnsi="宋体" w:cs="??"/>
          <w:b/>
          <w:bCs/>
          <w:color w:val="auto"/>
          <w:kern w:val="44"/>
          <w:highlight w:val="none"/>
        </w:rPr>
        <w:t>.</w:t>
      </w:r>
      <w:r>
        <w:rPr>
          <w:rFonts w:hint="eastAsia" w:ascii="宋体" w:hAnsi="宋体" w:cs="宋体"/>
          <w:b/>
          <w:bCs/>
          <w:color w:val="auto"/>
          <w:kern w:val="44"/>
          <w:highlight w:val="none"/>
        </w:rPr>
        <w:t>联系方式</w:t>
      </w:r>
    </w:p>
    <w:p>
      <w:pPr>
        <w:widowControl/>
        <w:tabs>
          <w:tab w:val="left" w:pos="2694"/>
        </w:tabs>
        <w:spacing w:line="360" w:lineRule="auto"/>
        <w:jc w:val="left"/>
        <w:rPr>
          <w:rFonts w:ascii="宋体" w:hAnsi="宋体" w:cs="??"/>
          <w:color w:val="auto"/>
          <w:kern w:val="0"/>
          <w:highlight w:val="none"/>
        </w:rPr>
      </w:pPr>
      <w:r>
        <w:rPr>
          <w:rFonts w:hint="eastAsia" w:ascii="宋体" w:hAnsi="宋体" w:cs="宋体"/>
          <w:color w:val="auto"/>
          <w:kern w:val="0"/>
          <w:highlight w:val="none"/>
        </w:rPr>
        <w:t>招标人：</w:t>
      </w:r>
      <w:r>
        <w:rPr>
          <w:rFonts w:hint="eastAsia" w:ascii="宋体" w:hAnsi="宋体" w:cs="宋体"/>
          <w:color w:val="auto"/>
          <w:kern w:val="0"/>
          <w:highlight w:val="none"/>
          <w:u w:val="single"/>
        </w:rPr>
        <w:t>绍兴滨海新区</w:t>
      </w:r>
      <w:r>
        <w:rPr>
          <w:rFonts w:hint="eastAsia" w:ascii="宋体" w:hAnsi="宋体" w:cs="宋体"/>
          <w:color w:val="auto"/>
          <w:kern w:val="0"/>
          <w:highlight w:val="none"/>
          <w:u w:val="single"/>
          <w:lang w:eastAsia="zh-CN"/>
        </w:rPr>
        <w:t>沧海社区开发建设有限公司</w:t>
      </w:r>
      <w:r>
        <w:rPr>
          <w:rFonts w:hint="eastAsia" w:ascii="宋体" w:hAnsi="宋体" w:cs="宋体"/>
          <w:color w:val="auto"/>
          <w:kern w:val="0"/>
          <w:highlight w:val="none"/>
        </w:rPr>
        <w:t>招标代理机构</w:t>
      </w:r>
      <w:r>
        <w:rPr>
          <w:rFonts w:ascii="宋体" w:hAnsi="宋体" w:cs="??"/>
          <w:color w:val="auto"/>
          <w:kern w:val="0"/>
          <w:highlight w:val="none"/>
        </w:rPr>
        <w:t>:</w:t>
      </w:r>
      <w:r>
        <w:rPr>
          <w:rFonts w:hint="eastAsia" w:ascii="宋体" w:hAnsi="宋体" w:cs="Arial"/>
          <w:color w:val="auto"/>
          <w:kern w:val="0"/>
          <w:highlight w:val="none"/>
          <w:u w:val="single"/>
        </w:rPr>
        <w:t>浙江耀信工程咨询有限公司</w:t>
      </w:r>
      <w:r>
        <w:rPr>
          <w:rFonts w:hint="eastAsia" w:ascii="宋体" w:hAnsi="宋体" w:cs="??"/>
          <w:color w:val="auto"/>
          <w:kern w:val="0"/>
          <w:highlight w:val="none"/>
          <w:u w:val="single"/>
        </w:rPr>
        <w:t xml:space="preserve"> </w:t>
      </w:r>
    </w:p>
    <w:bookmarkEnd w:id="1"/>
    <w:bookmarkEnd w:id="2"/>
    <w:p>
      <w:pPr>
        <w:widowControl/>
        <w:spacing w:line="360" w:lineRule="auto"/>
        <w:jc w:val="left"/>
        <w:rPr>
          <w:rFonts w:ascii="宋体" w:hAnsi="宋体" w:cs="??"/>
          <w:color w:val="auto"/>
          <w:kern w:val="0"/>
          <w:highlight w:val="none"/>
        </w:rPr>
      </w:pPr>
      <w:r>
        <w:rPr>
          <w:rFonts w:hint="eastAsia" w:ascii="宋体" w:hAnsi="宋体" w:cs="宋体"/>
          <w:color w:val="auto"/>
          <w:kern w:val="0"/>
          <w:highlight w:val="none"/>
        </w:rPr>
        <w:t>地</w:t>
      </w:r>
      <w:r>
        <w:rPr>
          <w:rFonts w:hint="eastAsia" w:ascii="宋体" w:hAnsi="宋体" w:cs="宋体"/>
          <w:color w:val="auto"/>
          <w:kern w:val="0"/>
          <w:highlight w:val="none"/>
          <w:lang w:val="en-US" w:eastAsia="zh-CN"/>
        </w:rPr>
        <w:t xml:space="preserve">  </w:t>
      </w:r>
      <w:r>
        <w:rPr>
          <w:rFonts w:hint="eastAsia" w:ascii="宋体" w:hAnsi="宋体" w:cs="宋体"/>
          <w:color w:val="auto"/>
          <w:kern w:val="0"/>
          <w:highlight w:val="none"/>
        </w:rPr>
        <w:t>址：</w:t>
      </w:r>
      <w:r>
        <w:rPr>
          <w:rFonts w:hint="eastAsia" w:ascii="宋体" w:hAnsi="宋体" w:cs="宋体"/>
          <w:color w:val="auto"/>
          <w:kern w:val="0"/>
          <w:highlight w:val="none"/>
          <w:u w:val="single"/>
        </w:rPr>
        <w:t>绍兴滨海新区海滨大道299号-1</w:t>
      </w:r>
      <w:r>
        <w:rPr>
          <w:rFonts w:hint="eastAsia" w:ascii="宋体" w:hAnsi="宋体" w:cs="宋体"/>
          <w:color w:val="auto"/>
          <w:kern w:val="0"/>
          <w:highlight w:val="none"/>
        </w:rPr>
        <w:t xml:space="preserve">地 </w:t>
      </w:r>
      <w:r>
        <w:rPr>
          <w:rFonts w:hint="eastAsia" w:ascii="宋体" w:hAnsi="宋体" w:cs="宋体"/>
          <w:color w:val="auto"/>
          <w:kern w:val="0"/>
          <w:highlight w:val="none"/>
          <w:lang w:val="en-US" w:eastAsia="zh-CN"/>
        </w:rPr>
        <w:t xml:space="preserve"> </w:t>
      </w:r>
      <w:r>
        <w:rPr>
          <w:rFonts w:hint="eastAsia" w:ascii="宋体" w:hAnsi="宋体" w:cs="宋体"/>
          <w:color w:val="auto"/>
          <w:kern w:val="0"/>
          <w:highlight w:val="none"/>
        </w:rPr>
        <w:t>址</w:t>
      </w:r>
      <w:r>
        <w:rPr>
          <w:rFonts w:ascii="宋体" w:hAnsi="宋体" w:cs="??"/>
          <w:color w:val="auto"/>
          <w:kern w:val="0"/>
          <w:highlight w:val="none"/>
        </w:rPr>
        <w:t>:</w:t>
      </w:r>
      <w:r>
        <w:rPr>
          <w:rFonts w:hint="eastAsia" w:ascii="宋体" w:hAnsi="宋体"/>
          <w:color w:val="auto"/>
          <w:highlight w:val="none"/>
          <w:u w:val="single"/>
        </w:rPr>
        <w:t xml:space="preserve"> </w:t>
      </w:r>
      <w:r>
        <w:rPr>
          <w:rFonts w:hint="eastAsia" w:ascii="宋体" w:hAnsi="宋体" w:cs="Arial"/>
          <w:color w:val="auto"/>
          <w:kern w:val="0"/>
          <w:highlight w:val="none"/>
          <w:u w:val="single"/>
        </w:rPr>
        <w:t>二环北路56-60号东六楼办公区652号</w:t>
      </w:r>
    </w:p>
    <w:p>
      <w:pPr>
        <w:widowControl/>
        <w:tabs>
          <w:tab w:val="left" w:pos="2694"/>
        </w:tabs>
        <w:spacing w:line="360" w:lineRule="auto"/>
        <w:jc w:val="left"/>
        <w:rPr>
          <w:rFonts w:hint="default" w:ascii="宋体" w:hAnsi="宋体" w:cs="??" w:eastAsiaTheme="minorEastAsia"/>
          <w:color w:val="auto"/>
          <w:kern w:val="0"/>
          <w:highlight w:val="none"/>
          <w:u w:val="single"/>
          <w:lang w:val="en-US" w:eastAsia="zh-CN"/>
        </w:rPr>
      </w:pPr>
      <w:r>
        <w:rPr>
          <w:rFonts w:hint="eastAsia" w:ascii="宋体" w:hAnsi="宋体" w:cs="宋体"/>
          <w:color w:val="auto"/>
          <w:kern w:val="0"/>
          <w:highlight w:val="none"/>
        </w:rPr>
        <w:t>联系人：</w:t>
      </w:r>
      <w:r>
        <w:rPr>
          <w:rFonts w:hint="eastAsia" w:ascii="宋体" w:hAnsi="宋体" w:cs="宋体"/>
          <w:color w:val="auto"/>
          <w:kern w:val="0"/>
          <w:highlight w:val="none"/>
          <w:u w:val="single"/>
          <w:lang w:val="en-US" w:eastAsia="zh-CN"/>
        </w:rPr>
        <w:t>沈</w:t>
      </w:r>
      <w:r>
        <w:rPr>
          <w:rFonts w:hint="eastAsia" w:ascii="宋体" w:hAnsi="宋体" w:cs="宋体"/>
          <w:color w:val="auto"/>
          <w:kern w:val="0"/>
          <w:highlight w:val="none"/>
          <w:u w:val="single"/>
        </w:rPr>
        <w:t>工</w:t>
      </w:r>
      <w:r>
        <w:rPr>
          <w:rFonts w:hint="eastAsia" w:ascii="宋体" w:hAnsi="宋体" w:cs="宋体"/>
          <w:color w:val="auto"/>
          <w:kern w:val="0"/>
          <w:highlight w:val="none"/>
        </w:rPr>
        <w:t xml:space="preserve"> </w:t>
      </w:r>
      <w:r>
        <w:rPr>
          <w:rFonts w:hint="eastAsia" w:ascii="宋体" w:hAnsi="宋体" w:cs="宋体"/>
          <w:color w:val="auto"/>
          <w:kern w:val="0"/>
          <w:highlight w:val="none"/>
          <w:lang w:val="en-US" w:eastAsia="zh-CN"/>
        </w:rPr>
        <w:t xml:space="preserve">                        </w:t>
      </w:r>
      <w:r>
        <w:rPr>
          <w:rFonts w:hint="eastAsia" w:ascii="宋体" w:hAnsi="宋体" w:cs="宋体"/>
          <w:color w:val="auto"/>
          <w:kern w:val="0"/>
          <w:highlight w:val="none"/>
        </w:rPr>
        <w:t>联系人</w:t>
      </w:r>
      <w:r>
        <w:rPr>
          <w:rFonts w:hint="eastAsia" w:ascii="宋体" w:hAnsi="宋体" w:cs="宋体"/>
          <w:color w:val="auto"/>
          <w:kern w:val="0"/>
          <w:highlight w:val="none"/>
          <w:u w:val="single"/>
        </w:rPr>
        <w:t>：</w:t>
      </w:r>
      <w:r>
        <w:rPr>
          <w:rFonts w:hint="eastAsia" w:ascii="宋体" w:hAnsi="宋体" w:cs="宋体"/>
          <w:color w:val="auto"/>
          <w:kern w:val="0"/>
          <w:highlight w:val="none"/>
          <w:u w:val="single"/>
          <w:lang w:val="en-US" w:eastAsia="zh-CN"/>
        </w:rPr>
        <w:t>张金熠</w:t>
      </w:r>
    </w:p>
    <w:p>
      <w:pPr>
        <w:widowControl/>
        <w:spacing w:line="380" w:lineRule="exact"/>
        <w:jc w:val="left"/>
        <w:rPr>
          <w:rFonts w:ascii="宋体" w:hAnsi="宋体" w:cs="宋体"/>
          <w:color w:val="auto"/>
          <w:kern w:val="0"/>
          <w:highlight w:val="none"/>
          <w:u w:val="single"/>
        </w:rPr>
      </w:pPr>
      <w:r>
        <w:rPr>
          <w:rFonts w:hint="eastAsia" w:ascii="宋体" w:hAnsi="宋体" w:cs="宋体"/>
          <w:color w:val="auto"/>
          <w:kern w:val="0"/>
          <w:highlight w:val="none"/>
        </w:rPr>
        <w:t>电</w:t>
      </w:r>
      <w:r>
        <w:rPr>
          <w:rFonts w:hint="eastAsia" w:ascii="宋体" w:hAnsi="宋体" w:cs="宋体"/>
          <w:color w:val="auto"/>
          <w:kern w:val="0"/>
          <w:highlight w:val="none"/>
          <w:lang w:val="en-US" w:eastAsia="zh-CN"/>
        </w:rPr>
        <w:t xml:space="preserve">  </w:t>
      </w:r>
      <w:r>
        <w:rPr>
          <w:rFonts w:hint="eastAsia" w:ascii="宋体" w:hAnsi="宋体" w:cs="宋体"/>
          <w:color w:val="auto"/>
          <w:kern w:val="0"/>
          <w:highlight w:val="none"/>
        </w:rPr>
        <w:t>话：</w:t>
      </w:r>
      <w:r>
        <w:rPr>
          <w:rFonts w:hint="eastAsia" w:ascii="宋体" w:hAnsi="宋体" w:cs="宋体"/>
          <w:color w:val="auto"/>
          <w:kern w:val="0"/>
          <w:highlight w:val="none"/>
          <w:u w:val="single"/>
        </w:rPr>
        <w:t>0575-</w:t>
      </w:r>
      <w:r>
        <w:rPr>
          <w:rFonts w:hint="eastAsia" w:ascii="宋体" w:hAnsi="宋体"/>
          <w:bCs/>
          <w:color w:val="auto"/>
          <w:szCs w:val="21"/>
          <w:highlight w:val="none"/>
          <w:u w:val="single"/>
        </w:rPr>
        <w:t>89198056</w:t>
      </w:r>
      <w:r>
        <w:rPr>
          <w:rFonts w:hint="eastAsia" w:ascii="宋体" w:hAnsi="宋体"/>
          <w:bCs/>
          <w:color w:val="auto"/>
          <w:szCs w:val="21"/>
          <w:highlight w:val="none"/>
          <w:u w:val="none"/>
          <w:lang w:val="en-US" w:eastAsia="zh-CN"/>
        </w:rPr>
        <w:t xml:space="preserve">                  </w:t>
      </w:r>
      <w:r>
        <w:rPr>
          <w:rFonts w:hint="eastAsia" w:ascii="宋体" w:hAnsi="宋体" w:cs="宋体"/>
          <w:color w:val="auto"/>
          <w:kern w:val="0"/>
          <w:highlight w:val="none"/>
        </w:rPr>
        <w:t>电</w:t>
      </w:r>
      <w:r>
        <w:rPr>
          <w:rFonts w:hint="eastAsia" w:ascii="宋体" w:hAnsi="宋体" w:cs="宋体"/>
          <w:color w:val="auto"/>
          <w:kern w:val="0"/>
          <w:highlight w:val="none"/>
          <w:lang w:val="en-US" w:eastAsia="zh-CN"/>
        </w:rPr>
        <w:t xml:space="preserve">  </w:t>
      </w:r>
      <w:r>
        <w:rPr>
          <w:rFonts w:hint="eastAsia" w:ascii="宋体" w:hAnsi="宋体" w:cs="宋体"/>
          <w:color w:val="auto"/>
          <w:kern w:val="0"/>
          <w:highlight w:val="none"/>
        </w:rPr>
        <w:t>话：</w:t>
      </w:r>
      <w:r>
        <w:rPr>
          <w:rFonts w:hint="eastAsia" w:ascii="宋体" w:hAnsi="宋体" w:cs="宋体"/>
          <w:color w:val="auto"/>
          <w:kern w:val="0"/>
          <w:highlight w:val="none"/>
          <w:u w:val="single"/>
          <w:lang w:val="en-US" w:eastAsia="zh-CN"/>
        </w:rPr>
        <w:t>13006077816</w:t>
      </w:r>
    </w:p>
    <w:p>
      <w:pPr>
        <w:tabs>
          <w:tab w:val="left" w:pos="4846"/>
        </w:tabs>
        <w:spacing w:line="400" w:lineRule="exact"/>
        <w:ind w:right="-58"/>
        <w:jc w:val="right"/>
        <w:rPr>
          <w:rFonts w:ascii="宋体" w:hAnsi="宋体" w:cs="宋体"/>
          <w:color w:val="auto"/>
          <w:kern w:val="0"/>
          <w:highlight w:val="none"/>
        </w:rPr>
      </w:pPr>
    </w:p>
    <w:p>
      <w:pPr>
        <w:tabs>
          <w:tab w:val="left" w:pos="4846"/>
        </w:tabs>
        <w:spacing w:line="400" w:lineRule="exact"/>
        <w:ind w:right="-58"/>
        <w:jc w:val="right"/>
        <w:rPr>
          <w:rFonts w:ascii="宋体" w:hAnsi="宋体" w:cs="??"/>
          <w:color w:val="auto"/>
          <w:kern w:val="0"/>
          <w:highlight w:val="none"/>
          <w:u w:val="single"/>
        </w:rPr>
      </w:pPr>
      <w:r>
        <w:rPr>
          <w:rFonts w:hint="eastAsia" w:ascii="宋体" w:hAnsi="宋体" w:cs="宋体"/>
          <w:color w:val="auto"/>
          <w:kern w:val="0"/>
          <w:highlight w:val="none"/>
        </w:rPr>
        <w:t>招标人：</w:t>
      </w:r>
      <w:r>
        <w:rPr>
          <w:rFonts w:hint="eastAsia" w:ascii="宋体" w:hAnsi="宋体" w:cs="宋体"/>
          <w:color w:val="auto"/>
          <w:kern w:val="0"/>
          <w:highlight w:val="none"/>
          <w:u w:val="single"/>
        </w:rPr>
        <w:t>绍兴滨海新区</w:t>
      </w:r>
      <w:r>
        <w:rPr>
          <w:rFonts w:hint="eastAsia" w:ascii="宋体" w:hAnsi="宋体" w:cs="宋体"/>
          <w:color w:val="auto"/>
          <w:kern w:val="0"/>
          <w:highlight w:val="none"/>
          <w:u w:val="single"/>
          <w:lang w:eastAsia="zh-CN"/>
        </w:rPr>
        <w:t>沧海社区开发建设有限公司</w:t>
      </w:r>
    </w:p>
    <w:p>
      <w:pPr>
        <w:tabs>
          <w:tab w:val="left" w:pos="4846"/>
        </w:tabs>
        <w:spacing w:line="400" w:lineRule="exact"/>
        <w:ind w:right="-58"/>
        <w:jc w:val="right"/>
        <w:rPr>
          <w:rFonts w:ascii="宋体" w:hAnsi="宋体"/>
          <w:color w:val="auto"/>
          <w:kern w:val="0"/>
          <w:highlight w:val="none"/>
        </w:rPr>
      </w:pPr>
      <w:r>
        <w:rPr>
          <w:rFonts w:hint="eastAsia" w:ascii="宋体" w:hAnsi="宋体" w:cs="宋体"/>
          <w:color w:val="auto"/>
          <w:kern w:val="0"/>
          <w:highlight w:val="none"/>
        </w:rPr>
        <w:t>招标代理机构</w:t>
      </w:r>
      <w:r>
        <w:rPr>
          <w:rFonts w:ascii="宋体" w:hAnsi="宋体" w:cs="??"/>
          <w:color w:val="auto"/>
          <w:kern w:val="0"/>
          <w:highlight w:val="none"/>
        </w:rPr>
        <w:t>:</w:t>
      </w:r>
      <w:r>
        <w:rPr>
          <w:rFonts w:hint="eastAsia" w:ascii="宋体" w:hAnsi="宋体" w:cs="Arial"/>
          <w:color w:val="auto"/>
          <w:kern w:val="0"/>
          <w:highlight w:val="none"/>
          <w:u w:val="single"/>
        </w:rPr>
        <w:t>浙江耀信工程咨询有限公司</w:t>
      </w:r>
    </w:p>
    <w:p>
      <w:pPr>
        <w:widowControl/>
        <w:wordWrap w:val="0"/>
        <w:spacing w:line="400" w:lineRule="exact"/>
        <w:jc w:val="right"/>
        <w:rPr>
          <w:rFonts w:ascii="宋体" w:hAnsi="宋体"/>
          <w:color w:val="auto"/>
          <w:kern w:val="0"/>
          <w:highlight w:val="none"/>
        </w:rPr>
      </w:pPr>
      <w:r>
        <w:rPr>
          <w:rFonts w:hint="eastAsia" w:ascii="宋体" w:hAnsi="宋体"/>
          <w:color w:val="auto"/>
          <w:kern w:val="0"/>
          <w:highlight w:val="none"/>
          <w:u w:val="single" w:color="000000"/>
        </w:rPr>
        <w:t>202</w:t>
      </w:r>
      <w:r>
        <w:rPr>
          <w:rFonts w:hint="eastAsia" w:ascii="宋体" w:hAnsi="宋体"/>
          <w:color w:val="auto"/>
          <w:kern w:val="0"/>
          <w:highlight w:val="none"/>
          <w:u w:val="single" w:color="000000"/>
          <w:lang w:val="en-US" w:eastAsia="zh-CN"/>
        </w:rPr>
        <w:t>2</w:t>
      </w:r>
      <w:r>
        <w:rPr>
          <w:rFonts w:ascii="宋体" w:hAnsi="宋体"/>
          <w:color w:val="auto"/>
          <w:kern w:val="0"/>
          <w:highlight w:val="none"/>
        </w:rPr>
        <w:t>年</w:t>
      </w:r>
      <w:r>
        <w:rPr>
          <w:rFonts w:hint="eastAsia" w:ascii="宋体" w:hAnsi="宋体"/>
          <w:color w:val="auto"/>
          <w:kern w:val="0"/>
          <w:highlight w:val="none"/>
          <w:lang w:val="en-US" w:eastAsia="zh-CN"/>
        </w:rPr>
        <w:t xml:space="preserve">   </w:t>
      </w:r>
      <w:r>
        <w:rPr>
          <w:rFonts w:ascii="宋体" w:hAnsi="宋体"/>
          <w:color w:val="auto"/>
          <w:spacing w:val="-3"/>
          <w:kern w:val="0"/>
          <w:highlight w:val="none"/>
        </w:rPr>
        <w:t>月</w:t>
      </w:r>
      <w:r>
        <w:rPr>
          <w:rFonts w:hint="eastAsia" w:ascii="宋体" w:hAnsi="宋体"/>
          <w:color w:val="auto"/>
          <w:spacing w:val="-3"/>
          <w:kern w:val="0"/>
          <w:highlight w:val="none"/>
          <w:lang w:val="en-US" w:eastAsia="zh-CN"/>
        </w:rPr>
        <w:t xml:space="preserve">   </w:t>
      </w:r>
      <w:r>
        <w:rPr>
          <w:rFonts w:ascii="宋体" w:hAnsi="宋体"/>
          <w:color w:val="auto"/>
          <w:kern w:val="0"/>
          <w:highlight w:val="none"/>
        </w:rPr>
        <w:t>日</w:t>
      </w:r>
    </w:p>
    <w:p>
      <w:pPr>
        <w:tabs>
          <w:tab w:val="left" w:pos="4846"/>
        </w:tabs>
        <w:spacing w:line="400" w:lineRule="exact"/>
        <w:ind w:right="-58" w:firstLine="3570" w:firstLineChars="1700"/>
        <w:jc w:val="both"/>
        <w:rPr>
          <w:rFonts w:hint="eastAsia" w:ascii="宋体" w:hAnsi="宋体" w:cs="宋体"/>
          <w:kern w:val="0"/>
          <w:lang w:eastAsia="zh-CN"/>
        </w:rPr>
      </w:pPr>
      <w:r>
        <w:rPr>
          <w:rFonts w:hint="eastAsia" w:ascii="宋体" w:hAnsi="宋体" w:cs="宋体"/>
          <w:kern w:val="0"/>
          <w:lang w:val="en-US" w:eastAsia="zh-CN"/>
        </w:rPr>
        <w:t xml:space="preserve"> </w:t>
      </w:r>
      <w:r>
        <w:rPr>
          <w:rFonts w:hint="eastAsia" w:ascii="宋体" w:hAnsi="宋体" w:cs="宋体"/>
          <w:kern w:val="0"/>
          <w:lang w:eastAsia="zh-CN"/>
        </w:rPr>
        <w:t>绍兴市公共资源交易中心越城区分中心意见：</w:t>
      </w:r>
    </w:p>
    <w:p>
      <w:pPr>
        <w:tabs>
          <w:tab w:val="left" w:pos="4846"/>
        </w:tabs>
        <w:spacing w:line="400" w:lineRule="exact"/>
        <w:ind w:right="-58"/>
        <w:jc w:val="center"/>
        <w:rPr>
          <w:rFonts w:hint="eastAsia" w:ascii="宋体" w:hAnsi="宋体" w:cs="宋体"/>
          <w:kern w:val="0"/>
          <w:lang w:eastAsia="zh-CN"/>
        </w:rPr>
      </w:pPr>
      <w:r>
        <w:rPr>
          <w:rFonts w:hint="eastAsia" w:ascii="宋体" w:hAnsi="宋体" w:cs="宋体"/>
          <w:kern w:val="0"/>
          <w:lang w:val="en-US" w:eastAsia="zh-CN"/>
        </w:rPr>
        <w:t xml:space="preserve">                                </w:t>
      </w:r>
      <w:r>
        <w:rPr>
          <w:rFonts w:hint="eastAsia" w:ascii="宋体" w:hAnsi="宋体" w:cs="宋体"/>
          <w:kern w:val="0"/>
          <w:u w:val="single"/>
          <w:lang w:val="en-US" w:eastAsia="zh-CN"/>
        </w:rPr>
        <w:t xml:space="preserve">    </w:t>
      </w:r>
      <w:r>
        <w:rPr>
          <w:rFonts w:hint="eastAsia" w:ascii="宋体" w:hAnsi="宋体" w:cs="宋体"/>
          <w:kern w:val="0"/>
          <w:lang w:eastAsia="zh-CN"/>
        </w:rPr>
        <w:t>年</w:t>
      </w:r>
      <w:r>
        <w:rPr>
          <w:rFonts w:hint="eastAsia" w:ascii="宋体" w:hAnsi="宋体" w:cs="宋体"/>
          <w:kern w:val="0"/>
          <w:u w:val="single"/>
          <w:lang w:val="en-US" w:eastAsia="zh-CN"/>
        </w:rPr>
        <w:t xml:space="preserve">    </w:t>
      </w:r>
      <w:r>
        <w:rPr>
          <w:rFonts w:hint="eastAsia" w:ascii="宋体" w:hAnsi="宋体" w:cs="宋体"/>
          <w:kern w:val="0"/>
          <w:lang w:eastAsia="zh-CN"/>
        </w:rPr>
        <w:t>月</w:t>
      </w:r>
      <w:r>
        <w:rPr>
          <w:rFonts w:hint="eastAsia" w:ascii="宋体" w:hAnsi="宋体" w:cs="宋体"/>
          <w:kern w:val="0"/>
          <w:u w:val="single"/>
          <w:lang w:val="en-US" w:eastAsia="zh-CN"/>
        </w:rPr>
        <w:t xml:space="preserve">    </w:t>
      </w:r>
      <w:r>
        <w:rPr>
          <w:rFonts w:hint="eastAsia" w:ascii="宋体" w:hAnsi="宋体" w:cs="宋体"/>
          <w:kern w:val="0"/>
          <w:lang w:eastAsia="zh-CN"/>
        </w:rPr>
        <w:t>日</w:t>
      </w:r>
    </w:p>
    <w:p>
      <w:pPr>
        <w:widowControl/>
        <w:wordWrap/>
        <w:spacing w:line="400" w:lineRule="exact"/>
        <w:jc w:val="right"/>
        <w:rPr>
          <w:rFonts w:ascii="宋体" w:hAnsi="宋体"/>
          <w:color w:val="auto"/>
          <w:kern w:val="0"/>
          <w:highlight w:val="none"/>
        </w:rPr>
      </w:pPr>
    </w:p>
    <w:bookmarkEnd w:id="3"/>
    <w:p>
      <w:pPr>
        <w:widowControl/>
        <w:spacing w:line="400" w:lineRule="exact"/>
        <w:jc w:val="left"/>
        <w:rPr>
          <w:rFonts w:ascii="宋体" w:hAnsi="宋体"/>
          <w:color w:val="auto"/>
          <w:spacing w:val="-36"/>
          <w:kern w:val="0"/>
          <w:highlight w:val="none"/>
        </w:rPr>
      </w:pPr>
      <w:r>
        <w:rPr>
          <w:rFonts w:ascii="宋体" w:hAnsi="宋体"/>
          <w:color w:val="auto"/>
          <w:spacing w:val="-2"/>
          <w:kern w:val="0"/>
          <w:highlight w:val="none"/>
        </w:rPr>
        <w:t>备注：</w:t>
      </w:r>
      <w:r>
        <w:rPr>
          <w:rFonts w:ascii="宋体" w:hAnsi="宋体" w:cs="宋体"/>
          <w:color w:val="auto"/>
          <w:spacing w:val="-2"/>
          <w:kern w:val="0"/>
          <w:highlight w:val="none"/>
        </w:rPr>
        <w:t>1</w:t>
      </w:r>
      <w:r>
        <w:rPr>
          <w:rFonts w:ascii="宋体" w:hAnsi="宋体"/>
          <w:color w:val="auto"/>
          <w:spacing w:val="-2"/>
          <w:kern w:val="0"/>
          <w:highlight w:val="none"/>
        </w:rPr>
        <w:t>、委托中介机构代理的，尚需提供工程建设项目招标代理业务承接情况表。</w:t>
      </w:r>
    </w:p>
    <w:p>
      <w:pPr>
        <w:widowControl/>
        <w:spacing w:line="400" w:lineRule="exact"/>
        <w:jc w:val="left"/>
        <w:rPr>
          <w:rFonts w:ascii="宋体" w:hAnsi="宋体" w:cs="宋体"/>
          <w:color w:val="auto"/>
          <w:kern w:val="0"/>
          <w:highlight w:val="none"/>
          <w:u w:val="single"/>
        </w:rPr>
      </w:pPr>
      <w:r>
        <w:rPr>
          <w:rFonts w:ascii="宋体" w:hAnsi="宋体" w:cs="宋体"/>
          <w:color w:val="auto"/>
          <w:kern w:val="0"/>
          <w:highlight w:val="none"/>
        </w:rPr>
        <w:t>2</w:t>
      </w:r>
      <w:r>
        <w:rPr>
          <w:rFonts w:ascii="宋体" w:hAnsi="宋体"/>
          <w:color w:val="auto"/>
          <w:kern w:val="0"/>
          <w:highlight w:val="none"/>
        </w:rPr>
        <w:t>、本表一式三份，招标人、招投标管理机构、中心各一份。</w:t>
      </w:r>
    </w:p>
    <w:p>
      <w:pPr>
        <w:jc w:val="center"/>
        <w:rPr>
          <w:rFonts w:ascii="宋体" w:hAnsi="宋体"/>
          <w:b/>
          <w:bCs/>
          <w:color w:val="auto"/>
          <w:sz w:val="30"/>
          <w:szCs w:val="30"/>
          <w:highlight w:val="none"/>
        </w:rPr>
      </w:pPr>
      <w:r>
        <w:rPr>
          <w:rFonts w:hint="eastAsia" w:ascii="宋体" w:hAnsi="宋体" w:cs="宋体"/>
          <w:b/>
          <w:bCs/>
          <w:color w:val="auto"/>
          <w:sz w:val="30"/>
          <w:szCs w:val="30"/>
          <w:highlight w:val="none"/>
        </w:rPr>
        <w:br w:type="page"/>
      </w:r>
      <w:bookmarkEnd w:id="4"/>
      <w:r>
        <w:rPr>
          <w:rFonts w:hint="eastAsia" w:ascii="宋体" w:hAnsi="宋体" w:cs="宋体"/>
          <w:b/>
          <w:bCs/>
          <w:color w:val="auto"/>
          <w:sz w:val="30"/>
          <w:szCs w:val="30"/>
          <w:highlight w:val="none"/>
        </w:rPr>
        <w:t>第二章投标人须知</w:t>
      </w:r>
    </w:p>
    <w:p>
      <w:pPr>
        <w:jc w:val="center"/>
        <w:rPr>
          <w:rFonts w:ascii="宋体" w:hAnsi="宋体"/>
          <w:b/>
          <w:bCs/>
          <w:color w:val="auto"/>
          <w:highlight w:val="none"/>
        </w:rPr>
      </w:pPr>
    </w:p>
    <w:p>
      <w:pPr>
        <w:pStyle w:val="30"/>
        <w:numPr>
          <w:ilvl w:val="0"/>
          <w:numId w:val="2"/>
        </w:numPr>
        <w:spacing w:line="360" w:lineRule="exact"/>
        <w:ind w:left="0" w:firstLineChars="0"/>
        <w:rPr>
          <w:rFonts w:ascii="宋体" w:hAnsi="宋体" w:cs="Times New Roman"/>
          <w:color w:val="auto"/>
          <w:highlight w:val="none"/>
        </w:rPr>
      </w:pPr>
      <w:r>
        <w:rPr>
          <w:rFonts w:hint="eastAsia" w:ascii="宋体" w:hAnsi="宋体" w:cs="宋体"/>
          <w:color w:val="auto"/>
          <w:highlight w:val="none"/>
        </w:rPr>
        <w:t>总则</w:t>
      </w:r>
    </w:p>
    <w:p>
      <w:pPr>
        <w:spacing w:line="360" w:lineRule="exact"/>
        <w:outlineLvl w:val="0"/>
        <w:rPr>
          <w:rFonts w:ascii="宋体" w:hAnsi="宋体"/>
          <w:color w:val="auto"/>
          <w:highlight w:val="none"/>
        </w:rPr>
      </w:pPr>
      <w:r>
        <w:rPr>
          <w:rFonts w:ascii="宋体" w:hAnsi="宋体"/>
          <w:color w:val="auto"/>
          <w:highlight w:val="none"/>
        </w:rPr>
        <w:t>1.1</w:t>
      </w:r>
      <w:r>
        <w:rPr>
          <w:rFonts w:hint="eastAsia" w:ascii="宋体" w:hAnsi="宋体" w:cs="宋体"/>
          <w:color w:val="auto"/>
          <w:highlight w:val="none"/>
        </w:rPr>
        <w:t>项目概况</w:t>
      </w:r>
    </w:p>
    <w:p>
      <w:pPr>
        <w:spacing w:line="360" w:lineRule="exact"/>
        <w:rPr>
          <w:rFonts w:ascii="宋体" w:hAnsi="宋体" w:cs="??"/>
          <w:color w:val="auto"/>
          <w:kern w:val="0"/>
          <w:highlight w:val="none"/>
          <w:u w:val="single"/>
        </w:rPr>
      </w:pPr>
      <w:r>
        <w:rPr>
          <w:rFonts w:ascii="宋体" w:hAnsi="宋体"/>
          <w:color w:val="auto"/>
          <w:highlight w:val="none"/>
        </w:rPr>
        <w:t xml:space="preserve">1.1.1 </w:t>
      </w:r>
      <w:r>
        <w:rPr>
          <w:rFonts w:hint="eastAsia" w:ascii="宋体" w:hAnsi="宋体" w:cs="宋体"/>
          <w:color w:val="auto"/>
          <w:highlight w:val="none"/>
        </w:rPr>
        <w:t>招标人名称：</w:t>
      </w:r>
      <w:r>
        <w:rPr>
          <w:rFonts w:hint="eastAsia" w:ascii="宋体" w:hAnsi="宋体" w:cs="宋体"/>
          <w:color w:val="auto"/>
          <w:highlight w:val="none"/>
          <w:u w:val="single"/>
        </w:rPr>
        <w:t>绍兴滨海新区</w:t>
      </w:r>
      <w:r>
        <w:rPr>
          <w:rFonts w:hint="eastAsia" w:ascii="宋体" w:hAnsi="宋体" w:cs="宋体"/>
          <w:color w:val="auto"/>
          <w:highlight w:val="none"/>
          <w:u w:val="single"/>
          <w:lang w:eastAsia="zh-CN"/>
        </w:rPr>
        <w:t>沧海社区开发建设有限公司</w:t>
      </w:r>
    </w:p>
    <w:p>
      <w:pPr>
        <w:spacing w:line="360" w:lineRule="exact"/>
        <w:rPr>
          <w:rFonts w:hint="eastAsia" w:ascii="宋体" w:hAnsi="宋体" w:eastAsiaTheme="minorEastAsia"/>
          <w:color w:val="auto"/>
          <w:highlight w:val="none"/>
          <w:u w:val="single"/>
          <w:lang w:eastAsia="zh-CN"/>
        </w:rPr>
      </w:pPr>
      <w:r>
        <w:rPr>
          <w:rFonts w:ascii="宋体" w:hAnsi="宋体"/>
          <w:color w:val="auto"/>
          <w:highlight w:val="none"/>
        </w:rPr>
        <w:t xml:space="preserve">1.1.2 </w:t>
      </w:r>
      <w:r>
        <w:rPr>
          <w:rFonts w:hint="eastAsia" w:ascii="宋体" w:hAnsi="宋体" w:cs="宋体"/>
          <w:color w:val="auto"/>
          <w:highlight w:val="none"/>
        </w:rPr>
        <w:t>招标代理机构名称：</w:t>
      </w:r>
      <w:r>
        <w:rPr>
          <w:rFonts w:hint="eastAsia" w:ascii="宋体" w:hAnsi="宋体" w:cs="??"/>
          <w:color w:val="auto"/>
          <w:kern w:val="0"/>
          <w:highlight w:val="none"/>
          <w:u w:val="single"/>
          <w:lang w:eastAsia="zh-CN"/>
        </w:rPr>
        <w:t>浙江耀信工程咨询有限公司</w:t>
      </w:r>
    </w:p>
    <w:p>
      <w:pPr>
        <w:spacing w:line="360" w:lineRule="exact"/>
        <w:rPr>
          <w:rFonts w:ascii="宋体" w:hAnsi="宋体" w:cs="??"/>
          <w:color w:val="auto"/>
          <w:kern w:val="0"/>
          <w:highlight w:val="none"/>
          <w:u w:val="single"/>
        </w:rPr>
      </w:pPr>
      <w:r>
        <w:rPr>
          <w:rFonts w:ascii="宋体" w:hAnsi="宋体"/>
          <w:color w:val="auto"/>
          <w:highlight w:val="none"/>
        </w:rPr>
        <w:t>1.1.3</w:t>
      </w:r>
      <w:r>
        <w:rPr>
          <w:rFonts w:hint="eastAsia" w:ascii="宋体" w:hAnsi="宋体" w:cs="宋体"/>
          <w:color w:val="auto"/>
          <w:highlight w:val="none"/>
        </w:rPr>
        <w:t>招标项目名称：</w:t>
      </w:r>
      <w:r>
        <w:rPr>
          <w:rFonts w:hint="eastAsia" w:ascii="宋体" w:hAnsi="宋体" w:cs="宋体"/>
          <w:color w:val="auto"/>
          <w:kern w:val="0"/>
          <w:highlight w:val="none"/>
          <w:u w:val="single"/>
          <w:lang w:eastAsia="zh-CN"/>
        </w:rPr>
        <w:t>绍兴滨海新区配套人才房工程</w:t>
      </w:r>
      <w:r>
        <w:rPr>
          <w:rFonts w:hint="eastAsia" w:ascii="宋体" w:hAnsi="宋体" w:cs="宋体"/>
          <w:color w:val="auto"/>
          <w:kern w:val="0"/>
          <w:highlight w:val="none"/>
          <w:u w:val="single"/>
        </w:rPr>
        <w:t>招标代理（造价咨询）服务项目</w:t>
      </w:r>
    </w:p>
    <w:p>
      <w:pPr>
        <w:spacing w:line="360" w:lineRule="exact"/>
        <w:rPr>
          <w:rFonts w:ascii="宋体" w:hAnsi="宋体"/>
          <w:color w:val="auto"/>
          <w:highlight w:val="none"/>
          <w:u w:val="single"/>
        </w:rPr>
      </w:pPr>
      <w:r>
        <w:rPr>
          <w:rFonts w:ascii="宋体" w:hAnsi="宋体"/>
          <w:color w:val="auto"/>
          <w:highlight w:val="none"/>
        </w:rPr>
        <w:t>1.1.4</w:t>
      </w:r>
      <w:r>
        <w:rPr>
          <w:rFonts w:hint="eastAsia" w:ascii="宋体" w:hAnsi="宋体" w:cs="宋体"/>
          <w:color w:val="auto"/>
          <w:highlight w:val="none"/>
        </w:rPr>
        <w:t>工程概况：</w:t>
      </w:r>
      <w:r>
        <w:rPr>
          <w:rFonts w:hint="eastAsia" w:ascii="宋体" w:hAnsi="宋体" w:cs="宋体"/>
          <w:color w:val="auto"/>
          <w:highlight w:val="none"/>
          <w:u w:val="single"/>
        </w:rPr>
        <w:t xml:space="preserve">见招标公告 </w:t>
      </w:r>
    </w:p>
    <w:p>
      <w:pPr>
        <w:spacing w:line="360" w:lineRule="exact"/>
        <w:rPr>
          <w:rFonts w:ascii="宋体" w:hAnsi="宋体"/>
          <w:color w:val="auto"/>
          <w:highlight w:val="none"/>
          <w:u w:val="single"/>
        </w:rPr>
      </w:pPr>
      <w:r>
        <w:rPr>
          <w:rFonts w:ascii="宋体" w:hAnsi="宋体"/>
          <w:color w:val="auto"/>
          <w:highlight w:val="none"/>
        </w:rPr>
        <w:t xml:space="preserve">1.2 </w:t>
      </w:r>
      <w:r>
        <w:rPr>
          <w:rFonts w:hint="eastAsia" w:ascii="宋体" w:hAnsi="宋体" w:cs="宋体"/>
          <w:color w:val="auto"/>
          <w:highlight w:val="none"/>
        </w:rPr>
        <w:t>招标范围</w:t>
      </w:r>
      <w:r>
        <w:rPr>
          <w:rFonts w:hint="eastAsia" w:ascii="宋体" w:hAnsi="宋体" w:cs="宋体"/>
          <w:color w:val="auto"/>
          <w:highlight w:val="none"/>
          <w:u w:val="single"/>
        </w:rPr>
        <w:t>见招标公告</w:t>
      </w:r>
    </w:p>
    <w:p>
      <w:pPr>
        <w:spacing w:line="360" w:lineRule="exact"/>
        <w:rPr>
          <w:rFonts w:ascii="宋体" w:hAnsi="宋体" w:cs="宋体"/>
          <w:color w:val="auto"/>
          <w:highlight w:val="none"/>
        </w:rPr>
      </w:pPr>
      <w:r>
        <w:rPr>
          <w:rFonts w:ascii="宋体" w:hAnsi="宋体"/>
          <w:color w:val="auto"/>
          <w:highlight w:val="none"/>
        </w:rPr>
        <w:t>1.2.1</w:t>
      </w:r>
      <w:r>
        <w:rPr>
          <w:rFonts w:hint="eastAsia" w:ascii="宋体" w:hAnsi="宋体" w:cs="宋体"/>
          <w:color w:val="auto"/>
          <w:highlight w:val="none"/>
        </w:rPr>
        <w:t>业务范围</w:t>
      </w:r>
    </w:p>
    <w:p>
      <w:pPr>
        <w:spacing w:line="360" w:lineRule="exact"/>
        <w:rPr>
          <w:rFonts w:ascii="宋体" w:hAnsi="宋体"/>
          <w:color w:val="auto"/>
          <w:highlight w:val="none"/>
        </w:rPr>
      </w:pPr>
      <w:r>
        <w:rPr>
          <w:rFonts w:ascii="宋体" w:hAnsi="宋体"/>
          <w:color w:val="auto"/>
          <w:highlight w:val="none"/>
        </w:rPr>
        <w:t>1.2.1.1</w:t>
      </w:r>
      <w:r>
        <w:rPr>
          <w:rFonts w:hint="eastAsia" w:ascii="宋体" w:hAnsi="宋体" w:cs="宋体"/>
          <w:color w:val="auto"/>
          <w:highlight w:val="none"/>
        </w:rPr>
        <w:t>招标代理业务范围：</w:t>
      </w:r>
    </w:p>
    <w:p>
      <w:pPr>
        <w:spacing w:line="360" w:lineRule="exact"/>
        <w:rPr>
          <w:rFonts w:ascii="宋体" w:hAnsi="宋体" w:cs="宋体"/>
          <w:color w:val="auto"/>
          <w:highlight w:val="none"/>
        </w:rPr>
      </w:pPr>
      <w:r>
        <w:rPr>
          <w:rFonts w:hint="eastAsia" w:ascii="宋体" w:hAnsi="宋体" w:cs="宋体"/>
          <w:color w:val="auto"/>
          <w:highlight w:val="none"/>
        </w:rPr>
        <w:t>招标前期征询、拟定招标方案、</w:t>
      </w:r>
      <w:r>
        <w:rPr>
          <w:rFonts w:hint="eastAsia" w:ascii="宋体" w:hAnsi="宋体"/>
          <w:color w:val="auto"/>
          <w:highlight w:val="none"/>
        </w:rPr>
        <w:t>协助委托人向主管部门办理招标申请及有关手续、</w:t>
      </w:r>
      <w:r>
        <w:rPr>
          <w:rFonts w:hint="eastAsia" w:ascii="宋体" w:hAnsi="宋体" w:cs="宋体"/>
          <w:color w:val="auto"/>
          <w:highlight w:val="none"/>
        </w:rPr>
        <w:t>编制招标文件和资格预审文件、发布招标信息、接受报名、协助委托人组织投标人资格预审、资格预审结果公示、投标保证金通知、发放招标文件、</w:t>
      </w:r>
      <w:r>
        <w:rPr>
          <w:rFonts w:hint="eastAsia" w:ascii="宋体" w:hAnsi="宋体"/>
          <w:color w:val="auto"/>
          <w:highlight w:val="none"/>
        </w:rPr>
        <w:t>编制工程量清单</w:t>
      </w:r>
      <w:r>
        <w:rPr>
          <w:rFonts w:hint="eastAsia" w:ascii="宋体" w:hAnsi="宋体"/>
          <w:strike w:val="0"/>
          <w:dstrike w:val="0"/>
          <w:color w:val="auto"/>
          <w:highlight w:val="none"/>
        </w:rPr>
        <w:t>、</w:t>
      </w:r>
      <w:r>
        <w:rPr>
          <w:rFonts w:hint="eastAsia" w:ascii="宋体" w:hAnsi="宋体" w:cs="宋体"/>
          <w:strike w:val="0"/>
          <w:dstrike w:val="0"/>
          <w:color w:val="auto"/>
          <w:highlight w:val="none"/>
        </w:rPr>
        <w:t>组织踏勘现场</w:t>
      </w:r>
      <w:r>
        <w:rPr>
          <w:rFonts w:hint="eastAsia" w:ascii="宋体" w:hAnsi="宋体" w:cs="宋体"/>
          <w:color w:val="auto"/>
          <w:highlight w:val="none"/>
        </w:rPr>
        <w:t>和答疑会、编制答疑纪要及招标文件补充、</w:t>
      </w:r>
      <w:r>
        <w:rPr>
          <w:rFonts w:hint="eastAsia" w:ascii="宋体" w:hAnsi="宋体"/>
          <w:color w:val="auto"/>
          <w:highlight w:val="none"/>
        </w:rPr>
        <w:t>编制标底、</w:t>
      </w:r>
      <w:r>
        <w:rPr>
          <w:rFonts w:hint="eastAsia" w:ascii="宋体" w:hAnsi="宋体" w:cs="宋体"/>
          <w:color w:val="auto"/>
          <w:highlight w:val="none"/>
        </w:rPr>
        <w:t>澄清文件、组织开标、评标和定标、中标公示、办理招标全过程备案手续、发放中标通知书、投标保证金退还通知、招投标档案管理、协助拟定合同、</w:t>
      </w:r>
      <w:r>
        <w:rPr>
          <w:rFonts w:hint="eastAsia" w:ascii="宋体" w:hAnsi="宋体"/>
          <w:color w:val="auto"/>
          <w:highlight w:val="none"/>
        </w:rPr>
        <w:t>图纸会审纪要及施工阶段等变更造价编制及审定；项目建设过程中有关咨询业务等</w:t>
      </w:r>
      <w:r>
        <w:rPr>
          <w:rFonts w:hint="eastAsia" w:ascii="宋体" w:hAnsi="宋体" w:cs="宋体"/>
          <w:color w:val="auto"/>
          <w:highlight w:val="none"/>
        </w:rPr>
        <w:t>等与招标代理业务一切有关的服务。</w:t>
      </w:r>
    </w:p>
    <w:p>
      <w:pPr>
        <w:spacing w:line="360" w:lineRule="exact"/>
        <w:rPr>
          <w:rFonts w:ascii="宋体" w:hAnsi="宋体"/>
          <w:color w:val="auto"/>
          <w:highlight w:val="none"/>
          <w:u w:val="single"/>
        </w:rPr>
      </w:pPr>
      <w:r>
        <w:rPr>
          <w:rFonts w:hint="eastAsia" w:ascii="宋体" w:hAnsi="宋体" w:cs="宋体"/>
          <w:color w:val="auto"/>
          <w:highlight w:val="none"/>
        </w:rPr>
        <w:t>其他招标代理业务：</w:t>
      </w:r>
      <w:r>
        <w:rPr>
          <w:rFonts w:hint="eastAsia" w:ascii="宋体" w:hAnsi="宋体" w:cs="宋体"/>
          <w:color w:val="auto"/>
          <w:highlight w:val="none"/>
          <w:u w:val="single"/>
        </w:rPr>
        <w:t xml:space="preserve">/ </w:t>
      </w:r>
    </w:p>
    <w:p>
      <w:pPr>
        <w:spacing w:line="360" w:lineRule="auto"/>
        <w:rPr>
          <w:rFonts w:ascii="宋体" w:hAnsi="宋体" w:cs="宋体"/>
          <w:b/>
          <w:bCs/>
          <w:color w:val="auto"/>
          <w:kern w:val="0"/>
          <w:highlight w:val="none"/>
          <w:u w:val="single"/>
        </w:rPr>
      </w:pPr>
      <w:r>
        <w:rPr>
          <w:rFonts w:ascii="宋体" w:hAnsi="宋体"/>
          <w:color w:val="auto"/>
          <w:highlight w:val="none"/>
        </w:rPr>
        <w:t>1.2.1.2</w:t>
      </w:r>
      <w:r>
        <w:rPr>
          <w:rFonts w:hint="eastAsia" w:ascii="宋体" w:hAnsi="宋体" w:cs="宋体"/>
          <w:color w:val="auto"/>
          <w:highlight w:val="none"/>
        </w:rPr>
        <w:t>咨询业务范围：</w:t>
      </w:r>
      <w:r>
        <w:rPr>
          <w:rFonts w:hint="eastAsia" w:ascii="宋体" w:hAnsi="宋体" w:cs="宋体"/>
          <w:b/>
          <w:bCs/>
          <w:color w:val="auto"/>
          <w:kern w:val="0"/>
          <w:highlight w:val="none"/>
          <w:u w:val="single"/>
        </w:rPr>
        <w:t>工程量清单及预算、招标控制价的编制；图纸会审纪要及施工阶段等变更造价编制及审定；项目建设过程中与造价咨询业务一切有关的服务。</w:t>
      </w:r>
    </w:p>
    <w:p>
      <w:pPr>
        <w:spacing w:line="360" w:lineRule="exact"/>
        <w:rPr>
          <w:rFonts w:ascii="宋体" w:hAnsi="宋体" w:cs="宋体"/>
          <w:color w:val="auto"/>
          <w:highlight w:val="none"/>
        </w:rPr>
      </w:pPr>
      <w:r>
        <w:rPr>
          <w:rFonts w:ascii="宋体" w:hAnsi="宋体"/>
          <w:color w:val="auto"/>
          <w:highlight w:val="none"/>
        </w:rPr>
        <w:t>1.2.1.3</w:t>
      </w:r>
      <w:r>
        <w:rPr>
          <w:rFonts w:hint="eastAsia" w:ascii="宋体" w:hAnsi="宋体" w:cs="宋体"/>
          <w:color w:val="auto"/>
          <w:highlight w:val="none"/>
        </w:rPr>
        <w:t>代理（咨询）业务工作要求：</w:t>
      </w:r>
    </w:p>
    <w:p>
      <w:pPr>
        <w:spacing w:line="360" w:lineRule="exact"/>
        <w:rPr>
          <w:rFonts w:ascii="宋体" w:hAnsi="宋体"/>
          <w:b/>
          <w:bCs/>
          <w:color w:val="auto"/>
          <w:szCs w:val="28"/>
          <w:highlight w:val="none"/>
          <w:u w:val="single"/>
        </w:rPr>
      </w:pPr>
      <w:r>
        <w:rPr>
          <w:rFonts w:hint="eastAsia" w:ascii="宋体" w:hAnsi="宋体"/>
          <w:b/>
          <w:bCs/>
          <w:color w:val="auto"/>
          <w:szCs w:val="28"/>
          <w:highlight w:val="none"/>
          <w:u w:val="single"/>
        </w:rPr>
        <w:t>（1）工程量清单编制、招标控制价编制须在按招标人指令</w:t>
      </w:r>
      <w:r>
        <w:rPr>
          <w:rFonts w:hint="eastAsia" w:ascii="宋体" w:hAnsi="宋体"/>
          <w:b/>
          <w:bCs/>
          <w:color w:val="auto"/>
          <w:szCs w:val="28"/>
          <w:highlight w:val="none"/>
          <w:u w:val="single"/>
          <w:lang w:val="en-US" w:eastAsia="zh-CN"/>
        </w:rPr>
        <w:t>并收到图纸后30日历天内</w:t>
      </w:r>
      <w:r>
        <w:rPr>
          <w:rFonts w:hint="eastAsia" w:ascii="宋体" w:hAnsi="宋体"/>
          <w:b/>
          <w:bCs/>
          <w:color w:val="auto"/>
          <w:szCs w:val="28"/>
          <w:highlight w:val="none"/>
          <w:u w:val="single"/>
        </w:rPr>
        <w:t>完成。</w:t>
      </w:r>
    </w:p>
    <w:p>
      <w:pPr>
        <w:spacing w:line="360" w:lineRule="exact"/>
        <w:rPr>
          <w:rFonts w:ascii="宋体" w:hAnsi="宋体"/>
          <w:b/>
          <w:bCs/>
          <w:color w:val="auto"/>
          <w:szCs w:val="28"/>
          <w:highlight w:val="none"/>
          <w:u w:val="single"/>
        </w:rPr>
      </w:pPr>
      <w:r>
        <w:rPr>
          <w:rFonts w:hint="eastAsia" w:ascii="宋体" w:hAnsi="宋体"/>
          <w:b/>
          <w:bCs/>
          <w:color w:val="auto"/>
          <w:szCs w:val="28"/>
          <w:highlight w:val="none"/>
          <w:u w:val="single"/>
        </w:rPr>
        <w:t>（2）对委派项目负责人和中介服务人员未经业主书面同意不得擅自调动。</w:t>
      </w:r>
    </w:p>
    <w:p>
      <w:pPr>
        <w:spacing w:line="360" w:lineRule="exact"/>
        <w:rPr>
          <w:rFonts w:ascii="宋体" w:hAnsi="宋体"/>
          <w:b/>
          <w:bCs/>
          <w:color w:val="auto"/>
          <w:szCs w:val="28"/>
          <w:highlight w:val="none"/>
          <w:u w:val="single"/>
        </w:rPr>
      </w:pPr>
      <w:r>
        <w:rPr>
          <w:rFonts w:hint="eastAsia" w:ascii="宋体" w:hAnsi="宋体"/>
          <w:b/>
          <w:bCs/>
          <w:color w:val="auto"/>
          <w:szCs w:val="28"/>
          <w:highlight w:val="none"/>
          <w:u w:val="single"/>
        </w:rPr>
        <w:t>（3）因工程标底编制出现明显错误、漏项或工程量计算差错、综合单价明显计算错误的不得大于单个招标控制价的2%。</w:t>
      </w:r>
    </w:p>
    <w:p>
      <w:pPr>
        <w:spacing w:line="360" w:lineRule="exact"/>
        <w:rPr>
          <w:rFonts w:ascii="宋体" w:hAnsi="宋体"/>
          <w:b/>
          <w:bCs/>
          <w:color w:val="auto"/>
          <w:szCs w:val="28"/>
          <w:highlight w:val="none"/>
          <w:u w:val="single"/>
        </w:rPr>
      </w:pPr>
      <w:r>
        <w:rPr>
          <w:rFonts w:hint="eastAsia" w:ascii="宋体" w:hAnsi="宋体"/>
          <w:b/>
          <w:bCs/>
          <w:color w:val="auto"/>
          <w:szCs w:val="28"/>
          <w:highlight w:val="none"/>
          <w:u w:val="single"/>
        </w:rPr>
        <w:t>（4） 在服务过程中，代理机构工作应符合招标人正常工作开展的需要和要求。</w:t>
      </w:r>
    </w:p>
    <w:p>
      <w:pPr>
        <w:spacing w:line="360" w:lineRule="exact"/>
        <w:rPr>
          <w:rFonts w:ascii="宋体" w:hAnsi="宋体"/>
          <w:b/>
          <w:bCs/>
          <w:color w:val="auto"/>
          <w:szCs w:val="28"/>
          <w:highlight w:val="none"/>
          <w:u w:val="single"/>
        </w:rPr>
      </w:pPr>
      <w:r>
        <w:rPr>
          <w:rFonts w:hint="eastAsia" w:ascii="宋体" w:hAnsi="宋体"/>
          <w:b/>
          <w:bCs/>
          <w:color w:val="auto"/>
          <w:szCs w:val="28"/>
          <w:highlight w:val="none"/>
          <w:u w:val="single"/>
        </w:rPr>
        <w:t>（5）不得出现因代理机构原因引起投诉或重新招标。</w:t>
      </w:r>
    </w:p>
    <w:p>
      <w:pPr>
        <w:spacing w:line="360" w:lineRule="exact"/>
        <w:rPr>
          <w:rFonts w:ascii="宋体" w:hAnsi="宋体"/>
          <w:b/>
          <w:bCs/>
          <w:color w:val="auto"/>
          <w:szCs w:val="28"/>
          <w:highlight w:val="none"/>
          <w:u w:val="single"/>
        </w:rPr>
      </w:pPr>
      <w:r>
        <w:rPr>
          <w:rFonts w:hint="eastAsia" w:ascii="宋体" w:hAnsi="宋体"/>
          <w:b/>
          <w:bCs/>
          <w:color w:val="auto"/>
          <w:szCs w:val="28"/>
          <w:highlight w:val="none"/>
          <w:u w:val="single"/>
        </w:rPr>
        <w:t>（6）在工程招标期间，不得因标底编制差错较多，导致工程招标未能按进度要求推进。</w:t>
      </w:r>
    </w:p>
    <w:p>
      <w:pPr>
        <w:spacing w:line="360" w:lineRule="exact"/>
        <w:rPr>
          <w:color w:val="auto"/>
          <w:highlight w:val="none"/>
        </w:rPr>
      </w:pPr>
      <w:r>
        <w:rPr>
          <w:rFonts w:hint="eastAsia" w:ascii="宋体" w:hAnsi="宋体"/>
          <w:b/>
          <w:bCs/>
          <w:color w:val="auto"/>
          <w:szCs w:val="28"/>
          <w:highlight w:val="none"/>
          <w:u w:val="single"/>
        </w:rPr>
        <w:t>（7）标底编制不明之处、中标施工单位及决算审计单位对标底有异议之处由本次中标单位负责解释与核对；已造成的标底误差，由此产生的工程变更联系单的预算，由本中标单位负责编制及审核。</w:t>
      </w:r>
    </w:p>
    <w:p>
      <w:pPr>
        <w:spacing w:line="360" w:lineRule="exact"/>
        <w:rPr>
          <w:rFonts w:ascii="宋体" w:hAnsi="宋体"/>
          <w:b/>
          <w:bCs/>
          <w:color w:val="auto"/>
          <w:szCs w:val="28"/>
          <w:highlight w:val="none"/>
          <w:u w:val="single"/>
        </w:rPr>
      </w:pPr>
      <w:r>
        <w:rPr>
          <w:rFonts w:hint="eastAsia" w:ascii="宋体" w:hAnsi="宋体"/>
          <w:b/>
          <w:bCs/>
          <w:color w:val="auto"/>
          <w:szCs w:val="28"/>
          <w:highlight w:val="none"/>
          <w:u w:val="single"/>
        </w:rPr>
        <w:t>（8）工程标底材料定价与市场供应价的绝对差额不得超过10%。</w:t>
      </w:r>
    </w:p>
    <w:p>
      <w:pPr>
        <w:spacing w:line="360" w:lineRule="exact"/>
        <w:rPr>
          <w:rFonts w:ascii="宋体" w:hAnsi="宋体"/>
          <w:b/>
          <w:bCs/>
          <w:color w:val="auto"/>
          <w:szCs w:val="28"/>
          <w:highlight w:val="none"/>
          <w:u w:val="single"/>
        </w:rPr>
      </w:pPr>
      <w:r>
        <w:rPr>
          <w:rFonts w:hint="eastAsia" w:ascii="宋体" w:hAnsi="宋体"/>
          <w:b/>
          <w:bCs/>
          <w:color w:val="auto"/>
          <w:szCs w:val="28"/>
          <w:highlight w:val="none"/>
          <w:u w:val="single"/>
        </w:rPr>
        <w:t>（9）提交标底时必须提供完整的工程量计算稿及各项经济指标、含量等数据分析表。</w:t>
      </w:r>
    </w:p>
    <w:p>
      <w:pPr>
        <w:spacing w:line="360" w:lineRule="exact"/>
        <w:rPr>
          <w:rFonts w:ascii="宋体" w:hAnsi="宋体"/>
          <w:b/>
          <w:bCs/>
          <w:color w:val="auto"/>
          <w:szCs w:val="28"/>
          <w:highlight w:val="none"/>
          <w:u w:val="single"/>
        </w:rPr>
      </w:pPr>
      <w:r>
        <w:rPr>
          <w:rFonts w:hint="eastAsia" w:ascii="宋体" w:hAnsi="宋体"/>
          <w:b/>
          <w:bCs/>
          <w:color w:val="auto"/>
          <w:szCs w:val="28"/>
          <w:highlight w:val="none"/>
          <w:u w:val="single"/>
        </w:rPr>
        <w:t>（10）每项代理工作完成后，需提交至少4套招标代理资料及标底（造价咨询资料）。</w:t>
      </w:r>
    </w:p>
    <w:p>
      <w:pPr>
        <w:spacing w:line="360" w:lineRule="exact"/>
        <w:rPr>
          <w:color w:val="auto"/>
          <w:highlight w:val="none"/>
        </w:rPr>
      </w:pPr>
      <w:r>
        <w:rPr>
          <w:rFonts w:hint="eastAsia" w:ascii="宋体" w:hAnsi="宋体"/>
          <w:b/>
          <w:color w:val="auto"/>
          <w:highlight w:val="none"/>
        </w:rPr>
        <w:t>1.2.1.4.1咨询业务的服务期限：</w:t>
      </w:r>
      <w:r>
        <w:rPr>
          <w:rFonts w:hint="eastAsia" w:ascii="宋体" w:hAnsi="宋体" w:cs="宋体"/>
          <w:color w:val="auto"/>
          <w:kern w:val="0"/>
          <w:highlight w:val="none"/>
        </w:rPr>
        <w:t>在按招标人指令在规定时间内完成</w:t>
      </w:r>
      <w:r>
        <w:rPr>
          <w:rFonts w:hint="eastAsia" w:ascii="宋体" w:hAnsi="宋体" w:cs="宋体"/>
          <w:color w:val="auto"/>
          <w:kern w:val="0"/>
          <w:highlight w:val="none"/>
          <w:lang w:eastAsia="zh-CN"/>
        </w:rPr>
        <w:t>，</w:t>
      </w:r>
      <w:r>
        <w:rPr>
          <w:rFonts w:hint="eastAsia" w:ascii="宋体" w:hAnsi="宋体" w:cs="宋体"/>
          <w:color w:val="auto"/>
          <w:kern w:val="0"/>
          <w:highlight w:val="none"/>
        </w:rPr>
        <w:t>编制标底须在收到图纸后30日历天内完成</w:t>
      </w:r>
      <w:r>
        <w:rPr>
          <w:rFonts w:hint="eastAsia" w:ascii="宋体" w:hAnsi="宋体" w:cs="宋体"/>
          <w:color w:val="auto"/>
          <w:kern w:val="0"/>
          <w:highlight w:val="none"/>
          <w:lang w:eastAsia="zh-CN"/>
        </w:rPr>
        <w:t>。</w:t>
      </w:r>
    </w:p>
    <w:p>
      <w:pPr>
        <w:snapToGrid w:val="0"/>
        <w:spacing w:line="500" w:lineRule="exact"/>
        <w:jc w:val="left"/>
        <w:rPr>
          <w:rFonts w:ascii="宋体" w:hAnsi="宋体"/>
          <w:color w:val="auto"/>
          <w:highlight w:val="none"/>
        </w:rPr>
      </w:pPr>
      <w:r>
        <w:rPr>
          <w:rFonts w:ascii="宋体" w:hAnsi="宋体"/>
          <w:color w:val="auto"/>
          <w:highlight w:val="none"/>
        </w:rPr>
        <w:t>1.3</w:t>
      </w:r>
      <w:r>
        <w:rPr>
          <w:rFonts w:hint="eastAsia" w:ascii="宋体" w:hAnsi="宋体" w:cs="宋体"/>
          <w:color w:val="auto"/>
          <w:highlight w:val="none"/>
        </w:rPr>
        <w:t>投标人资格条件</w:t>
      </w:r>
    </w:p>
    <w:p>
      <w:pPr>
        <w:widowControl/>
        <w:spacing w:line="360" w:lineRule="exact"/>
        <w:jc w:val="left"/>
        <w:rPr>
          <w:rFonts w:ascii="宋体" w:hAnsi="宋体" w:cs="宋体"/>
          <w:color w:val="auto"/>
          <w:highlight w:val="none"/>
          <w:u w:val="single"/>
        </w:rPr>
      </w:pPr>
      <w:r>
        <w:rPr>
          <w:rFonts w:ascii="宋体" w:hAnsi="宋体"/>
          <w:color w:val="auto"/>
          <w:highlight w:val="none"/>
        </w:rPr>
        <w:t>1.3.1</w:t>
      </w:r>
      <w:r>
        <w:rPr>
          <w:rFonts w:hint="eastAsia" w:ascii="宋体" w:hAnsi="宋体" w:cs="宋体"/>
          <w:color w:val="auto"/>
          <w:kern w:val="0"/>
          <w:highlight w:val="none"/>
        </w:rPr>
        <w:t>企业资质要求：</w:t>
      </w:r>
      <w:r>
        <w:rPr>
          <w:rFonts w:hint="eastAsia" w:ascii="宋体" w:hAnsi="宋体" w:cs="宋体"/>
          <w:color w:val="auto"/>
          <w:highlight w:val="none"/>
          <w:u w:val="single"/>
        </w:rPr>
        <w:t>/</w:t>
      </w:r>
    </w:p>
    <w:p>
      <w:pPr>
        <w:widowControl/>
        <w:spacing w:line="360" w:lineRule="auto"/>
        <w:jc w:val="left"/>
        <w:rPr>
          <w:rFonts w:ascii="宋体" w:hAnsi="宋体" w:cs="宋体"/>
          <w:color w:val="auto"/>
          <w:highlight w:val="none"/>
          <w:u w:val="single"/>
        </w:rPr>
      </w:pPr>
      <w:r>
        <w:rPr>
          <w:rFonts w:ascii="宋体" w:hAnsi="宋体"/>
          <w:color w:val="auto"/>
          <w:highlight w:val="none"/>
        </w:rPr>
        <w:t>1.3.</w:t>
      </w:r>
      <w:r>
        <w:rPr>
          <w:rFonts w:hint="eastAsia" w:ascii="宋体" w:hAnsi="宋体"/>
          <w:color w:val="auto"/>
          <w:highlight w:val="none"/>
        </w:rPr>
        <w:t>2</w:t>
      </w:r>
      <w:r>
        <w:rPr>
          <w:rFonts w:hint="eastAsia" w:ascii="宋体" w:hAnsi="宋体" w:cs="宋体"/>
          <w:color w:val="auto"/>
          <w:kern w:val="0"/>
          <w:highlight w:val="none"/>
        </w:rPr>
        <w:t>企业业绩要求：</w:t>
      </w:r>
      <w:r>
        <w:rPr>
          <w:rFonts w:hint="eastAsia" w:ascii="宋体" w:hAnsi="宋体" w:cs="宋体"/>
          <w:color w:val="auto"/>
          <w:highlight w:val="none"/>
          <w:u w:val="single"/>
        </w:rPr>
        <w:t>投标人2017年</w:t>
      </w:r>
      <w:r>
        <w:rPr>
          <w:rFonts w:hint="eastAsia" w:ascii="宋体" w:hAnsi="宋体" w:cs="宋体"/>
          <w:color w:val="auto"/>
          <w:highlight w:val="none"/>
          <w:u w:val="single"/>
          <w:lang w:val="en-US" w:eastAsia="zh-CN"/>
        </w:rPr>
        <w:t>1</w:t>
      </w:r>
      <w:r>
        <w:rPr>
          <w:rFonts w:hint="eastAsia" w:ascii="宋体" w:hAnsi="宋体" w:cs="宋体"/>
          <w:color w:val="auto"/>
          <w:highlight w:val="none"/>
          <w:u w:val="single"/>
        </w:rPr>
        <w:t>月1日以来（时间以合同签订时间为准）完成过施工中标价20000万元（含）以上的房屋建筑工程招标代理及造价咨询项目。证明材料：须同时提供招标代理合同、造价咨询合同、施工中标通知书；施工中标价以施工中标通知书中的金额为准，上述证明材料无法体现业绩要求内容的，还须提供业主证明（加盖业主公章）。</w:t>
      </w:r>
    </w:p>
    <w:p>
      <w:pPr>
        <w:widowControl/>
        <w:spacing w:line="360" w:lineRule="exact"/>
        <w:jc w:val="left"/>
        <w:rPr>
          <w:rFonts w:ascii="宋体" w:hAnsi="宋体" w:cs="Arial"/>
          <w:color w:val="auto"/>
          <w:kern w:val="0"/>
          <w:highlight w:val="none"/>
          <w:u w:val="single"/>
        </w:rPr>
      </w:pPr>
      <w:r>
        <w:rPr>
          <w:rFonts w:ascii="宋体" w:hAnsi="宋体"/>
          <w:color w:val="auto"/>
          <w:highlight w:val="none"/>
        </w:rPr>
        <w:t>1.3.</w:t>
      </w:r>
      <w:r>
        <w:rPr>
          <w:rFonts w:hint="eastAsia" w:ascii="宋体" w:hAnsi="宋体"/>
          <w:color w:val="auto"/>
          <w:highlight w:val="none"/>
        </w:rPr>
        <w:t>3</w:t>
      </w:r>
      <w:r>
        <w:rPr>
          <w:rFonts w:hint="eastAsia" w:ascii="宋体" w:hAnsi="宋体" w:cs="宋体"/>
          <w:color w:val="auto"/>
          <w:highlight w:val="none"/>
        </w:rPr>
        <w:t>项目负责人要求：</w:t>
      </w:r>
      <w:r>
        <w:rPr>
          <w:rFonts w:hint="eastAsia" w:ascii="宋体" w:hAnsi="宋体" w:cs="宋体"/>
          <w:color w:val="auto"/>
          <w:highlight w:val="none"/>
          <w:u w:val="single"/>
        </w:rPr>
        <w:t>具有一级注册造价工程师执业资格（2018年7月20日发布“建人[2018]67号”文件之前取得的造价工程师与一级等同，下同），且必须为投标人在职职工（不包括离退休返聘人员），须提供缴费期限包含</w:t>
      </w:r>
      <w:r>
        <w:rPr>
          <w:rFonts w:hint="eastAsia" w:ascii="宋体" w:hAnsi="宋体" w:cs="宋体"/>
          <w:color w:val="auto"/>
          <w:highlight w:val="none"/>
          <w:u w:val="single"/>
          <w:lang w:eastAsia="zh-CN"/>
        </w:rPr>
        <w:t>2022年</w:t>
      </w:r>
      <w:r>
        <w:rPr>
          <w:rFonts w:hint="eastAsia" w:ascii="宋体" w:hAnsi="宋体" w:cs="宋体"/>
          <w:color w:val="auto"/>
          <w:highlight w:val="none"/>
          <w:u w:val="single"/>
          <w:lang w:val="en-US" w:eastAsia="zh-CN"/>
        </w:rPr>
        <w:t>4</w:t>
      </w:r>
      <w:r>
        <w:rPr>
          <w:rFonts w:hint="eastAsia" w:ascii="宋体" w:hAnsi="宋体" w:cs="宋体"/>
          <w:color w:val="auto"/>
          <w:highlight w:val="none"/>
          <w:u w:val="single"/>
          <w:lang w:eastAsia="zh-CN"/>
        </w:rPr>
        <w:t>月至2022年</w:t>
      </w:r>
      <w:r>
        <w:rPr>
          <w:rFonts w:hint="eastAsia" w:ascii="宋体" w:hAnsi="宋体" w:cs="宋体"/>
          <w:color w:val="auto"/>
          <w:highlight w:val="none"/>
          <w:u w:val="single"/>
          <w:lang w:val="en-US" w:eastAsia="zh-CN"/>
        </w:rPr>
        <w:t>6</w:t>
      </w:r>
      <w:r>
        <w:rPr>
          <w:rFonts w:hint="eastAsia" w:ascii="宋体" w:hAnsi="宋体" w:cs="宋体"/>
          <w:color w:val="auto"/>
          <w:highlight w:val="none"/>
          <w:u w:val="single"/>
          <w:lang w:eastAsia="zh-CN"/>
        </w:rPr>
        <w:t>月</w:t>
      </w:r>
      <w:r>
        <w:rPr>
          <w:rFonts w:hint="eastAsia" w:ascii="宋体" w:hAnsi="宋体" w:cs="宋体"/>
          <w:color w:val="auto"/>
          <w:highlight w:val="none"/>
          <w:u w:val="single"/>
        </w:rPr>
        <w:t xml:space="preserve">的投标人所属社保机构养老保险交纳清单或证明为准【缴费单位和投标人名称必须一致，并加盖社保缴费证明专用章（非独立法人的分公司社保证明有效）】，以投标人所属社保机构出具的盖有社保部门专用章（或电子专用章）的社保证明件为准；若项目负责人为事业编制的，须提供缴费期限包含 </w:t>
      </w:r>
      <w:r>
        <w:rPr>
          <w:rFonts w:hint="eastAsia" w:ascii="宋体" w:hAnsi="宋体" w:cs="宋体"/>
          <w:color w:val="auto"/>
          <w:highlight w:val="none"/>
          <w:u w:val="single"/>
          <w:lang w:eastAsia="zh-CN"/>
        </w:rPr>
        <w:t>2022年</w:t>
      </w:r>
      <w:r>
        <w:rPr>
          <w:rFonts w:hint="eastAsia" w:ascii="宋体" w:hAnsi="宋体" w:cs="宋体"/>
          <w:color w:val="auto"/>
          <w:highlight w:val="none"/>
          <w:u w:val="single"/>
          <w:lang w:val="en-US" w:eastAsia="zh-CN"/>
        </w:rPr>
        <w:t>4</w:t>
      </w:r>
      <w:r>
        <w:rPr>
          <w:rFonts w:hint="eastAsia" w:ascii="宋体" w:hAnsi="宋体" w:cs="宋体"/>
          <w:color w:val="auto"/>
          <w:highlight w:val="none"/>
          <w:u w:val="single"/>
          <w:lang w:eastAsia="zh-CN"/>
        </w:rPr>
        <w:t>月至2022年</w:t>
      </w:r>
      <w:r>
        <w:rPr>
          <w:rFonts w:hint="eastAsia" w:ascii="宋体" w:hAnsi="宋体" w:cs="宋体"/>
          <w:color w:val="auto"/>
          <w:highlight w:val="none"/>
          <w:u w:val="single"/>
          <w:lang w:val="en-US" w:eastAsia="zh-CN"/>
        </w:rPr>
        <w:t>6</w:t>
      </w:r>
      <w:r>
        <w:rPr>
          <w:rFonts w:hint="eastAsia" w:ascii="宋体" w:hAnsi="宋体" w:cs="宋体"/>
          <w:color w:val="auto"/>
          <w:highlight w:val="none"/>
          <w:u w:val="single"/>
          <w:lang w:eastAsia="zh-CN"/>
        </w:rPr>
        <w:t>月</w:t>
      </w:r>
      <w:r>
        <w:rPr>
          <w:rFonts w:hint="eastAsia" w:ascii="宋体" w:hAnsi="宋体" w:cs="宋体"/>
          <w:color w:val="auto"/>
          <w:highlight w:val="none"/>
          <w:u w:val="single"/>
        </w:rPr>
        <w:t>由人事代理中心出具的社保证明（需加盖人事代理中心证明专用章）。</w:t>
      </w:r>
    </w:p>
    <w:p>
      <w:pPr>
        <w:widowControl/>
        <w:spacing w:line="360" w:lineRule="exact"/>
        <w:jc w:val="left"/>
        <w:rPr>
          <w:rFonts w:ascii="宋体" w:hAnsi="宋体"/>
          <w:color w:val="auto"/>
          <w:kern w:val="0"/>
          <w:highlight w:val="none"/>
        </w:rPr>
      </w:pPr>
      <w:r>
        <w:rPr>
          <w:rFonts w:ascii="宋体" w:hAnsi="宋体"/>
          <w:color w:val="auto"/>
          <w:highlight w:val="none"/>
        </w:rPr>
        <w:t>1.3.</w:t>
      </w:r>
      <w:r>
        <w:rPr>
          <w:rFonts w:hint="eastAsia" w:ascii="宋体" w:hAnsi="宋体"/>
          <w:color w:val="auto"/>
          <w:highlight w:val="none"/>
        </w:rPr>
        <w:t>4</w:t>
      </w:r>
      <w:r>
        <w:rPr>
          <w:rFonts w:hint="eastAsia" w:ascii="宋体" w:hAnsi="宋体" w:cs="宋体"/>
          <w:color w:val="auto"/>
          <w:kern w:val="0"/>
          <w:highlight w:val="none"/>
        </w:rPr>
        <w:t>主要的资格条件：</w:t>
      </w:r>
    </w:p>
    <w:p>
      <w:pPr>
        <w:widowControl/>
        <w:spacing w:line="360" w:lineRule="exact"/>
        <w:ind w:firstLine="644" w:firstLineChars="307"/>
        <w:jc w:val="left"/>
        <w:rPr>
          <w:rFonts w:ascii="宋体" w:hAnsi="宋体"/>
          <w:color w:val="auto"/>
          <w:highlight w:val="none"/>
        </w:rPr>
      </w:pPr>
      <w:r>
        <w:rPr>
          <w:rFonts w:hint="eastAsia" w:ascii="宋体" w:hAnsi="宋体" w:cs="宋体"/>
          <w:color w:val="auto"/>
          <w:highlight w:val="none"/>
        </w:rPr>
        <w:t>（</w:t>
      </w:r>
      <w:r>
        <w:rPr>
          <w:rFonts w:ascii="宋体" w:hAnsi="宋体" w:cs="宋体"/>
          <w:color w:val="auto"/>
          <w:highlight w:val="none"/>
        </w:rPr>
        <w:t>1</w:t>
      </w:r>
      <w:r>
        <w:rPr>
          <w:rFonts w:hint="eastAsia" w:ascii="宋体" w:hAnsi="宋体" w:cs="宋体"/>
          <w:color w:val="auto"/>
          <w:highlight w:val="none"/>
        </w:rPr>
        <w:t>）在中华人民共和国境内注册的独立法人；</w:t>
      </w:r>
    </w:p>
    <w:p>
      <w:pPr>
        <w:widowControl/>
        <w:spacing w:line="400" w:lineRule="exact"/>
        <w:jc w:val="left"/>
        <w:rPr>
          <w:rFonts w:ascii="宋体" w:hAnsi="宋体"/>
          <w:color w:val="auto"/>
          <w:highlight w:val="none"/>
        </w:rPr>
      </w:pPr>
      <w:r>
        <w:rPr>
          <w:rFonts w:hint="eastAsia" w:ascii="宋体" w:hAnsi="宋体" w:cs="宋体"/>
          <w:color w:val="auto"/>
          <w:kern w:val="0"/>
          <w:highlight w:val="none"/>
        </w:rPr>
        <w:t xml:space="preserve">      （</w:t>
      </w:r>
      <w:r>
        <w:rPr>
          <w:rFonts w:ascii="宋体" w:hAnsi="宋体" w:cs="宋体"/>
          <w:color w:val="auto"/>
          <w:kern w:val="0"/>
          <w:highlight w:val="none"/>
        </w:rPr>
        <w:t>2</w:t>
      </w:r>
      <w:r>
        <w:rPr>
          <w:rFonts w:hint="eastAsia" w:ascii="宋体" w:hAnsi="宋体" w:cs="宋体"/>
          <w:color w:val="auto"/>
          <w:kern w:val="0"/>
          <w:highlight w:val="none"/>
        </w:rPr>
        <w:t>）</w:t>
      </w:r>
      <w:r>
        <w:rPr>
          <w:rFonts w:hint="eastAsia" w:ascii="宋体" w:hAnsi="宋体"/>
          <w:color w:val="auto"/>
          <w:highlight w:val="none"/>
          <w:u w:val="single"/>
        </w:rPr>
        <w:t>企业具有绍兴市公共资源交易中心越城区分中心工程建设项目有效的入库登记信息</w:t>
      </w:r>
      <w:r>
        <w:rPr>
          <w:rFonts w:hint="eastAsia" w:ascii="宋体" w:hAnsi="宋体"/>
          <w:color w:val="auto"/>
          <w:highlight w:val="none"/>
        </w:rPr>
        <w:t>；</w:t>
      </w:r>
      <w:r>
        <w:rPr>
          <w:rFonts w:ascii="宋体" w:hAnsi="宋体"/>
          <w:color w:val="auto"/>
          <w:highlight w:val="none"/>
        </w:rPr>
        <w:t xml:space="preserve"> </w:t>
      </w:r>
    </w:p>
    <w:p>
      <w:pPr>
        <w:widowControl/>
        <w:spacing w:line="360" w:lineRule="exact"/>
        <w:ind w:firstLine="630" w:firstLineChars="300"/>
        <w:jc w:val="left"/>
        <w:rPr>
          <w:rFonts w:ascii="宋体" w:hAnsi="宋体"/>
          <w:color w:val="auto"/>
          <w:highlight w:val="none"/>
        </w:rPr>
      </w:pPr>
      <w:r>
        <w:rPr>
          <w:rFonts w:hint="eastAsia" w:ascii="宋体" w:hAnsi="宋体" w:cs="宋体"/>
          <w:color w:val="auto"/>
          <w:highlight w:val="none"/>
        </w:rPr>
        <w:t>（</w:t>
      </w:r>
      <w:r>
        <w:rPr>
          <w:rFonts w:ascii="宋体" w:hAnsi="宋体" w:cs="宋体"/>
          <w:color w:val="auto"/>
          <w:highlight w:val="none"/>
        </w:rPr>
        <w:t>3</w:t>
      </w:r>
      <w:r>
        <w:rPr>
          <w:rFonts w:hint="eastAsia" w:ascii="宋体" w:hAnsi="宋体" w:cs="宋体"/>
          <w:color w:val="auto"/>
          <w:highlight w:val="none"/>
        </w:rPr>
        <w:t>）企业在近二年内（具体时间见公告）无不良行为记录。</w:t>
      </w:r>
    </w:p>
    <w:p>
      <w:pPr>
        <w:widowControl/>
        <w:spacing w:line="360" w:lineRule="exact"/>
        <w:jc w:val="left"/>
        <w:rPr>
          <w:rFonts w:ascii="宋体" w:hAnsi="宋体"/>
          <w:color w:val="auto"/>
          <w:highlight w:val="none"/>
          <w:u w:val="single"/>
        </w:rPr>
      </w:pPr>
      <w:r>
        <w:rPr>
          <w:rFonts w:hint="eastAsia" w:ascii="宋体" w:hAnsi="宋体" w:cs="宋体"/>
          <w:color w:val="auto"/>
          <w:highlight w:val="none"/>
        </w:rPr>
        <w:t>（</w:t>
      </w:r>
      <w:r>
        <w:rPr>
          <w:rFonts w:ascii="宋体" w:hAnsi="宋体" w:cs="宋体"/>
          <w:color w:val="auto"/>
          <w:highlight w:val="none"/>
        </w:rPr>
        <w:t>4</w:t>
      </w:r>
      <w:r>
        <w:rPr>
          <w:rFonts w:hint="eastAsia" w:ascii="宋体" w:hAnsi="宋体" w:cs="宋体"/>
          <w:color w:val="auto"/>
          <w:highlight w:val="none"/>
        </w:rPr>
        <w:t>）其他条件：</w:t>
      </w:r>
      <w:r>
        <w:rPr>
          <w:rFonts w:hint="eastAsia" w:ascii="宋体" w:hAnsi="宋体" w:cs="宋体"/>
          <w:color w:val="auto"/>
          <w:highlight w:val="none"/>
          <w:u w:val="single"/>
        </w:rPr>
        <w:t>见招标公告</w:t>
      </w:r>
    </w:p>
    <w:p>
      <w:pPr>
        <w:adjustRightInd w:val="0"/>
        <w:snapToGrid w:val="0"/>
        <w:spacing w:line="360" w:lineRule="exact"/>
        <w:rPr>
          <w:rFonts w:ascii="宋体" w:hAnsi="宋体"/>
          <w:color w:val="auto"/>
          <w:kern w:val="0"/>
          <w:highlight w:val="none"/>
        </w:rPr>
      </w:pPr>
      <w:r>
        <w:rPr>
          <w:rFonts w:ascii="宋体" w:hAnsi="宋体"/>
          <w:color w:val="auto"/>
          <w:highlight w:val="none"/>
        </w:rPr>
        <w:t>1.3.</w:t>
      </w:r>
      <w:r>
        <w:rPr>
          <w:rFonts w:hint="eastAsia" w:ascii="宋体" w:hAnsi="宋体"/>
          <w:color w:val="auto"/>
          <w:highlight w:val="none"/>
        </w:rPr>
        <w:t>5</w:t>
      </w:r>
      <w:r>
        <w:rPr>
          <w:rFonts w:hint="eastAsia" w:ascii="宋体" w:hAnsi="宋体" w:cs="宋体"/>
          <w:color w:val="auto"/>
          <w:kern w:val="0"/>
          <w:highlight w:val="none"/>
        </w:rPr>
        <w:t>服务费报价及结算标准：</w:t>
      </w:r>
      <w:r>
        <w:rPr>
          <w:rFonts w:hint="eastAsia" w:ascii="宋体" w:hAnsi="宋体" w:cs="宋体"/>
          <w:color w:val="auto"/>
          <w:kern w:val="0"/>
          <w:highlight w:val="none"/>
          <w:u w:val="single"/>
        </w:rPr>
        <w:t>见招标公告</w:t>
      </w:r>
    </w:p>
    <w:p>
      <w:pPr>
        <w:widowControl/>
        <w:spacing w:line="360" w:lineRule="auto"/>
        <w:jc w:val="left"/>
        <w:rPr>
          <w:rFonts w:ascii="宋体" w:hAnsi="宋体"/>
          <w:color w:val="auto"/>
          <w:spacing w:val="-3"/>
          <w:highlight w:val="none"/>
        </w:rPr>
      </w:pPr>
      <w:r>
        <w:rPr>
          <w:rFonts w:ascii="宋体" w:hAnsi="宋体" w:cs="宋体"/>
          <w:color w:val="auto"/>
          <w:kern w:val="0"/>
          <w:highlight w:val="none"/>
        </w:rPr>
        <w:t>1.3.</w:t>
      </w:r>
      <w:r>
        <w:rPr>
          <w:rFonts w:hint="eastAsia" w:ascii="宋体" w:hAnsi="宋体" w:cs="宋体"/>
          <w:color w:val="auto"/>
          <w:kern w:val="0"/>
          <w:highlight w:val="none"/>
        </w:rPr>
        <w:t>5</w:t>
      </w:r>
      <w:r>
        <w:rPr>
          <w:rFonts w:ascii="宋体" w:hAnsi="宋体" w:cs="宋体"/>
          <w:color w:val="auto"/>
          <w:kern w:val="0"/>
          <w:highlight w:val="none"/>
        </w:rPr>
        <w:t>.1</w:t>
      </w:r>
      <w:r>
        <w:rPr>
          <w:rFonts w:hint="eastAsia" w:ascii="宋体" w:hAnsi="宋体" w:cs="宋体"/>
          <w:color w:val="auto"/>
          <w:highlight w:val="none"/>
        </w:rPr>
        <w:t>分标段实施招标的，按以下办法计算收费基数：招标代理服务费</w:t>
      </w:r>
      <w:r>
        <w:rPr>
          <w:rFonts w:hint="eastAsia" w:ascii="宋体" w:hAnsi="宋体"/>
          <w:color w:val="auto"/>
          <w:highlight w:val="none"/>
        </w:rPr>
        <w:t>以累计各标段施工中标价</w:t>
      </w:r>
      <w:r>
        <w:rPr>
          <w:rFonts w:hint="eastAsia" w:ascii="宋体" w:hAnsi="宋体" w:cs="宋体"/>
          <w:color w:val="auto"/>
          <w:highlight w:val="none"/>
        </w:rPr>
        <w:t>为基准计算</w:t>
      </w:r>
      <w:r>
        <w:rPr>
          <w:rFonts w:hint="eastAsia" w:ascii="宋体" w:hAnsi="宋体" w:cs="宋体"/>
          <w:color w:val="auto"/>
          <w:highlight w:val="none"/>
          <w:lang w:val="en-US" w:eastAsia="zh-CN"/>
        </w:rPr>
        <w:t>基数</w:t>
      </w:r>
      <w:r>
        <w:rPr>
          <w:rFonts w:hint="eastAsia" w:ascii="宋体" w:hAnsi="宋体" w:cs="宋体"/>
          <w:color w:val="auto"/>
          <w:highlight w:val="none"/>
        </w:rPr>
        <w:t>为准</w:t>
      </w:r>
      <w:r>
        <w:rPr>
          <w:rFonts w:ascii="宋体" w:hAnsi="宋体" w:cs="宋体"/>
          <w:color w:val="auto"/>
          <w:highlight w:val="none"/>
        </w:rPr>
        <w:t>,</w:t>
      </w:r>
      <w:r>
        <w:rPr>
          <w:rFonts w:hint="eastAsia" w:ascii="宋体" w:hAnsi="宋体" w:cs="宋体"/>
          <w:color w:val="auto"/>
          <w:highlight w:val="none"/>
        </w:rPr>
        <w:t>造价咨询服务费以审定后</w:t>
      </w:r>
      <w:r>
        <w:rPr>
          <w:rFonts w:hint="eastAsia" w:ascii="宋体" w:hAnsi="宋体" w:cs="宋体"/>
          <w:color w:val="auto"/>
          <w:highlight w:val="none"/>
          <w:lang w:val="en-US" w:eastAsia="zh-CN"/>
        </w:rPr>
        <w:t>的累计</w:t>
      </w:r>
      <w:r>
        <w:rPr>
          <w:rFonts w:hint="eastAsia" w:ascii="宋体" w:hAnsi="宋体" w:cs="宋体"/>
          <w:color w:val="auto"/>
          <w:highlight w:val="none"/>
        </w:rPr>
        <w:t>标底价为基准计算</w:t>
      </w:r>
      <w:r>
        <w:rPr>
          <w:rFonts w:hint="eastAsia" w:ascii="宋体" w:hAnsi="宋体" w:cs="宋体"/>
          <w:color w:val="auto"/>
          <w:highlight w:val="none"/>
          <w:lang w:val="en-US" w:eastAsia="zh-CN"/>
        </w:rPr>
        <w:t>基数</w:t>
      </w:r>
      <w:r>
        <w:rPr>
          <w:rFonts w:hint="eastAsia" w:ascii="宋体" w:hAnsi="宋体" w:cs="宋体"/>
          <w:color w:val="auto"/>
          <w:highlight w:val="none"/>
        </w:rPr>
        <w:t>为准(均不含预备费)。列入暂估价的工程、设备、材料部分另行招标的，不再另行列入招标代理服务费和造价咨询服务费的计费基数。监理</w:t>
      </w:r>
      <w:r>
        <w:rPr>
          <w:rFonts w:hint="eastAsia" w:ascii="宋体" w:hAnsi="宋体" w:cs="宋体"/>
          <w:color w:val="auto"/>
          <w:highlight w:val="none"/>
          <w:lang w:eastAsia="zh-CN"/>
        </w:rPr>
        <w:t>、</w:t>
      </w:r>
      <w:r>
        <w:rPr>
          <w:rFonts w:hint="eastAsia" w:ascii="宋体" w:hAnsi="宋体" w:cs="宋体"/>
          <w:b w:val="0"/>
          <w:bCs/>
          <w:i w:val="0"/>
          <w:iCs w:val="0"/>
          <w:color w:val="auto"/>
          <w:kern w:val="0"/>
          <w:highlight w:val="none"/>
          <w:u w:val="none"/>
          <w:lang w:val="en-US" w:eastAsia="zh-CN"/>
        </w:rPr>
        <w:t>标底审核、施工阶段全过程造价咨询</w:t>
      </w:r>
      <w:r>
        <w:rPr>
          <w:rFonts w:hint="eastAsia" w:ascii="宋体" w:hAnsi="宋体" w:cs="宋体"/>
          <w:color w:val="auto"/>
          <w:highlight w:val="none"/>
        </w:rPr>
        <w:t>等（如需进场招标）招标代理费用不再单独另行计取，设备及大宗材料等采购及与本工程相关全部需招标项目的招标代理费用不再单独另行计取。</w:t>
      </w:r>
      <w:r>
        <w:rPr>
          <w:rFonts w:hint="eastAsia" w:ascii="宋体" w:hAnsi="宋体" w:cs="Arial"/>
          <w:color w:val="auto"/>
          <w:highlight w:val="none"/>
        </w:rPr>
        <w:t>若项目招标失败，需要重新招标的，不再追加中介服务费。</w:t>
      </w:r>
    </w:p>
    <w:p>
      <w:pPr>
        <w:adjustRightInd w:val="0"/>
        <w:snapToGrid w:val="0"/>
        <w:spacing w:line="360" w:lineRule="exact"/>
        <w:rPr>
          <w:rFonts w:ascii="宋体" w:hAnsi="宋体" w:cs="宋体"/>
          <w:color w:val="auto"/>
          <w:highlight w:val="none"/>
        </w:rPr>
      </w:pPr>
      <w:r>
        <w:rPr>
          <w:rFonts w:ascii="宋体" w:hAnsi="宋体" w:cs="宋体"/>
          <w:color w:val="auto"/>
          <w:kern w:val="0"/>
          <w:highlight w:val="none"/>
        </w:rPr>
        <w:t>1.3.</w:t>
      </w:r>
      <w:r>
        <w:rPr>
          <w:rFonts w:hint="eastAsia" w:ascii="宋体" w:hAnsi="宋体" w:cs="宋体"/>
          <w:color w:val="auto"/>
          <w:kern w:val="0"/>
          <w:highlight w:val="none"/>
        </w:rPr>
        <w:t>5</w:t>
      </w:r>
      <w:r>
        <w:rPr>
          <w:rFonts w:ascii="宋体" w:hAnsi="宋体" w:cs="宋体"/>
          <w:color w:val="auto"/>
          <w:kern w:val="0"/>
          <w:highlight w:val="none"/>
        </w:rPr>
        <w:t>.2</w:t>
      </w:r>
      <w:r>
        <w:rPr>
          <w:rFonts w:hint="eastAsia" w:ascii="宋体" w:hAnsi="宋体" w:cs="宋体"/>
          <w:color w:val="auto"/>
          <w:highlight w:val="none"/>
        </w:rPr>
        <w:t>重大项目及技术复杂的项目，需邀请市外专家的，专家费另行约定。</w:t>
      </w:r>
    </w:p>
    <w:p>
      <w:pPr>
        <w:widowControl/>
        <w:spacing w:line="360" w:lineRule="exact"/>
        <w:jc w:val="left"/>
        <w:rPr>
          <w:rFonts w:ascii="宋体" w:hAnsi="宋体" w:cs="宋体"/>
          <w:b/>
          <w:bCs/>
          <w:color w:val="auto"/>
          <w:kern w:val="0"/>
          <w:highlight w:val="none"/>
        </w:rPr>
      </w:pPr>
      <w:r>
        <w:rPr>
          <w:rFonts w:ascii="宋体" w:hAnsi="宋体" w:cs="宋体"/>
          <w:color w:val="auto"/>
          <w:kern w:val="0"/>
          <w:highlight w:val="none"/>
        </w:rPr>
        <w:t>1.3.</w:t>
      </w:r>
      <w:r>
        <w:rPr>
          <w:rFonts w:hint="eastAsia" w:ascii="宋体" w:hAnsi="宋体" w:cs="宋体"/>
          <w:color w:val="auto"/>
          <w:kern w:val="0"/>
          <w:highlight w:val="none"/>
        </w:rPr>
        <w:t>5</w:t>
      </w:r>
      <w:r>
        <w:rPr>
          <w:rFonts w:ascii="宋体" w:hAnsi="宋体" w:cs="宋体"/>
          <w:color w:val="auto"/>
          <w:kern w:val="0"/>
          <w:highlight w:val="none"/>
        </w:rPr>
        <w:t>.</w:t>
      </w:r>
      <w:r>
        <w:rPr>
          <w:rFonts w:hint="eastAsia" w:ascii="宋体" w:hAnsi="宋体" w:cs="宋体"/>
          <w:color w:val="auto"/>
          <w:kern w:val="0"/>
          <w:highlight w:val="none"/>
        </w:rPr>
        <w:t>3其他约定事项</w:t>
      </w:r>
      <w:r>
        <w:rPr>
          <w:rFonts w:hint="eastAsia" w:ascii="宋体" w:hAnsi="宋体" w:cs="宋体"/>
          <w:b/>
          <w:bCs/>
          <w:color w:val="auto"/>
          <w:kern w:val="0"/>
          <w:highlight w:val="none"/>
        </w:rPr>
        <w:t>：</w:t>
      </w:r>
    </w:p>
    <w:p>
      <w:pPr>
        <w:widowControl/>
        <w:spacing w:line="360" w:lineRule="exact"/>
        <w:jc w:val="left"/>
        <w:rPr>
          <w:rFonts w:ascii="宋体" w:hAnsi="宋体" w:cs="宋体"/>
          <w:b/>
          <w:bCs/>
          <w:color w:val="auto"/>
          <w:kern w:val="0"/>
          <w:highlight w:val="none"/>
          <w:u w:val="single"/>
        </w:rPr>
      </w:pPr>
      <w:r>
        <w:rPr>
          <w:rFonts w:hint="eastAsia" w:ascii="宋体" w:hAnsi="宋体" w:cs="宋体"/>
          <w:b/>
          <w:bCs/>
          <w:color w:val="auto"/>
          <w:kern w:val="0"/>
          <w:highlight w:val="none"/>
          <w:u w:val="single"/>
        </w:rPr>
        <w:t>（1）服务费包括招标代理以及工程量清单编制、招标控制价（参考标底）编制及招标过程中的专家费</w:t>
      </w:r>
      <w:r>
        <w:rPr>
          <w:rFonts w:hint="eastAsia" w:ascii="宋体" w:hAnsi="宋体" w:cs="宋体"/>
          <w:b/>
          <w:bCs/>
          <w:color w:val="auto"/>
          <w:kern w:val="0"/>
          <w:highlight w:val="none"/>
          <w:u w:val="single"/>
          <w:lang w:eastAsia="zh-CN"/>
        </w:rPr>
        <w:t>、</w:t>
      </w:r>
      <w:r>
        <w:rPr>
          <w:rFonts w:hint="eastAsia" w:ascii="宋体" w:hAnsi="宋体" w:cs="宋体"/>
          <w:b/>
          <w:bCs/>
          <w:color w:val="auto"/>
          <w:kern w:val="0"/>
          <w:highlight w:val="none"/>
          <w:u w:val="single"/>
        </w:rPr>
        <w:t>招标文件制作</w:t>
      </w:r>
      <w:r>
        <w:rPr>
          <w:rFonts w:hint="eastAsia" w:ascii="宋体" w:hAnsi="宋体"/>
          <w:b/>
          <w:bCs/>
          <w:color w:val="auto"/>
          <w:spacing w:val="-5"/>
          <w:highlight w:val="none"/>
          <w:u w:val="single"/>
          <w:lang w:val="en-US" w:eastAsia="zh-CN"/>
        </w:rPr>
        <w:t>及评标期间产生的相关费用</w:t>
      </w:r>
      <w:r>
        <w:rPr>
          <w:rFonts w:hint="eastAsia" w:ascii="宋体" w:hAnsi="宋体" w:cs="宋体"/>
          <w:b/>
          <w:bCs/>
          <w:color w:val="auto"/>
          <w:kern w:val="0"/>
          <w:highlight w:val="none"/>
          <w:u w:val="single"/>
        </w:rPr>
        <w:t>等支出费用，不包括公证费、审标费、交易服务费。监理</w:t>
      </w:r>
      <w:r>
        <w:rPr>
          <w:rFonts w:hint="eastAsia" w:ascii="宋体" w:hAnsi="宋体" w:cs="宋体"/>
          <w:b/>
          <w:bCs/>
          <w:color w:val="auto"/>
          <w:kern w:val="0"/>
          <w:highlight w:val="none"/>
          <w:u w:val="single"/>
          <w:lang w:eastAsia="zh-CN"/>
        </w:rPr>
        <w:t>、</w:t>
      </w:r>
      <w:r>
        <w:rPr>
          <w:rFonts w:hint="eastAsia" w:ascii="宋体" w:hAnsi="宋体" w:cs="宋体"/>
          <w:b/>
          <w:bCs/>
          <w:color w:val="auto"/>
          <w:highlight w:val="none"/>
          <w:u w:val="single"/>
          <w:lang w:val="en-US" w:eastAsia="zh-CN"/>
        </w:rPr>
        <w:t>标底审核、施工阶段全过程造价咨询</w:t>
      </w:r>
      <w:r>
        <w:rPr>
          <w:rFonts w:hint="eastAsia" w:ascii="宋体" w:hAnsi="宋体" w:cs="宋体"/>
          <w:b/>
          <w:bCs/>
          <w:color w:val="auto"/>
          <w:kern w:val="0"/>
          <w:highlight w:val="none"/>
          <w:u w:val="single"/>
        </w:rPr>
        <w:t>等（如需进场招标）招标代理费用不再单独另行计取，设备及大宗材料等采购及与本工程相关全部需招标项目的招标代理费用不再单独另行计取。若项目招标失败，需要重新招标的，不再追加中介服务费。</w:t>
      </w:r>
    </w:p>
    <w:p>
      <w:pPr>
        <w:widowControl/>
        <w:spacing w:line="400" w:lineRule="exact"/>
        <w:rPr>
          <w:rFonts w:hint="eastAsia" w:ascii="宋体" w:hAnsi="宋体"/>
          <w:b/>
          <w:bCs/>
          <w:color w:val="auto"/>
          <w:spacing w:val="-5"/>
          <w:highlight w:val="none"/>
          <w:u w:val="single"/>
        </w:rPr>
      </w:pPr>
      <w:r>
        <w:rPr>
          <w:rFonts w:hint="eastAsia" w:ascii="宋体" w:hAnsi="宋体" w:cs="宋体"/>
          <w:b/>
          <w:bCs/>
          <w:color w:val="auto"/>
          <w:kern w:val="0"/>
          <w:highlight w:val="none"/>
          <w:u w:val="single"/>
        </w:rPr>
        <w:t>（2）</w:t>
      </w:r>
      <w:r>
        <w:rPr>
          <w:rFonts w:hint="eastAsia" w:ascii="宋体" w:hAnsi="宋体"/>
          <w:b/>
          <w:bCs/>
          <w:color w:val="auto"/>
          <w:spacing w:val="-5"/>
          <w:highlight w:val="none"/>
          <w:u w:val="single"/>
        </w:rPr>
        <w:t>本次招标所产生的</w:t>
      </w:r>
      <w:r>
        <w:rPr>
          <w:rFonts w:hint="eastAsia" w:ascii="宋体" w:hAnsi="宋体"/>
          <w:b/>
          <w:bCs/>
          <w:color w:val="auto"/>
          <w:spacing w:val="-5"/>
          <w:highlight w:val="none"/>
          <w:u w:val="single"/>
          <w:lang w:eastAsia="zh-CN"/>
        </w:rPr>
        <w:t>代理费用按</w:t>
      </w:r>
      <w:r>
        <w:rPr>
          <w:rFonts w:hint="eastAsia" w:ascii="宋体" w:hAnsi="宋体"/>
          <w:b/>
          <w:bCs/>
          <w:color w:val="auto"/>
          <w:spacing w:val="-5"/>
          <w:highlight w:val="none"/>
          <w:u w:val="single"/>
          <w:lang w:val="en-US" w:eastAsia="zh-CN"/>
        </w:rPr>
        <w:t>4500元计取，</w:t>
      </w:r>
      <w:r>
        <w:rPr>
          <w:rFonts w:hint="eastAsia" w:ascii="宋体" w:hAnsi="宋体"/>
          <w:b/>
          <w:bCs/>
          <w:color w:val="auto"/>
          <w:spacing w:val="-5"/>
          <w:highlight w:val="none"/>
          <w:u w:val="single"/>
        </w:rPr>
        <w:t>专家费和评标期间产生的相关费用（包括餐费）</w:t>
      </w:r>
      <w:r>
        <w:rPr>
          <w:rFonts w:hint="eastAsia" w:ascii="宋体" w:hAnsi="宋体"/>
          <w:b/>
          <w:bCs/>
          <w:color w:val="auto"/>
          <w:spacing w:val="-5"/>
          <w:highlight w:val="none"/>
          <w:u w:val="single"/>
          <w:lang w:eastAsia="zh-CN"/>
        </w:rPr>
        <w:t>按实结算，上述所有费用由被委托项目招标产生的中标人承担</w:t>
      </w:r>
      <w:r>
        <w:rPr>
          <w:rFonts w:hint="eastAsia" w:ascii="宋体" w:hAnsi="宋体" w:cs="Arial"/>
          <w:b/>
          <w:bCs/>
          <w:color w:val="auto"/>
          <w:kern w:val="0"/>
          <w:highlight w:val="none"/>
          <w:u w:val="single"/>
          <w:lang w:eastAsia="zh-CN"/>
        </w:rPr>
        <w:t>，</w:t>
      </w:r>
      <w:r>
        <w:rPr>
          <w:rFonts w:hint="eastAsia" w:ascii="宋体" w:hAnsi="宋体" w:cs="Arial"/>
          <w:b/>
          <w:bCs/>
          <w:color w:val="auto"/>
          <w:kern w:val="0"/>
          <w:highlight w:val="none"/>
          <w:u w:val="single"/>
        </w:rPr>
        <w:t>请各投标单位报价时综合考虑。</w:t>
      </w:r>
      <w:r>
        <w:rPr>
          <w:rFonts w:hint="eastAsia" w:ascii="宋体" w:hAnsi="宋体"/>
          <w:b/>
          <w:bCs/>
          <w:color w:val="auto"/>
          <w:spacing w:val="-5"/>
          <w:highlight w:val="none"/>
          <w:u w:val="single"/>
        </w:rPr>
        <w:t>交易服务费由招标人和本次中标人按绍兴市政务服务办公室的相关通知执行，公证费由招标人承担。</w:t>
      </w:r>
    </w:p>
    <w:p>
      <w:pPr>
        <w:spacing w:line="360" w:lineRule="exact"/>
        <w:rPr>
          <w:rFonts w:ascii="宋体" w:hAnsi="宋体" w:cs="宋体"/>
          <w:color w:val="auto"/>
          <w:highlight w:val="none"/>
          <w:u w:val="single"/>
        </w:rPr>
      </w:pPr>
      <w:r>
        <w:rPr>
          <w:rFonts w:ascii="宋体" w:hAnsi="宋体"/>
          <w:color w:val="auto"/>
          <w:highlight w:val="none"/>
        </w:rPr>
        <w:t>1.3.</w:t>
      </w:r>
      <w:r>
        <w:rPr>
          <w:rFonts w:hint="eastAsia" w:ascii="宋体" w:hAnsi="宋体"/>
          <w:color w:val="auto"/>
          <w:highlight w:val="none"/>
        </w:rPr>
        <w:t>6</w:t>
      </w:r>
      <w:r>
        <w:rPr>
          <w:rFonts w:hint="eastAsia" w:ascii="宋体" w:hAnsi="宋体" w:cs="宋体"/>
          <w:color w:val="auto"/>
          <w:highlight w:val="none"/>
        </w:rPr>
        <w:t>是否接受联合体投标</w:t>
      </w:r>
      <w:r>
        <w:rPr>
          <w:rFonts w:ascii="宋体" w:hAnsi="宋体"/>
          <w:color w:val="auto"/>
          <w:highlight w:val="none"/>
        </w:rPr>
        <w:t xml:space="preserve"> :</w:t>
      </w:r>
      <w:r>
        <w:rPr>
          <w:rFonts w:hint="eastAsia" w:ascii="宋体" w:hAnsi="宋体" w:cs="宋体"/>
          <w:color w:val="auto"/>
          <w:highlight w:val="none"/>
          <w:u w:val="single"/>
        </w:rPr>
        <w:t>见招标公告</w:t>
      </w:r>
    </w:p>
    <w:p>
      <w:pPr>
        <w:spacing w:line="360" w:lineRule="exact"/>
        <w:ind w:firstLine="525" w:firstLineChars="250"/>
        <w:rPr>
          <w:rFonts w:ascii="宋体" w:hAnsi="宋体"/>
          <w:strike/>
          <w:color w:val="auto"/>
          <w:highlight w:val="none"/>
        </w:rPr>
      </w:pPr>
      <w:r>
        <w:rPr>
          <w:rFonts w:hint="eastAsia" w:ascii="宋体" w:hAnsi="宋体" w:cs="宋体"/>
          <w:strike/>
          <w:color w:val="auto"/>
          <w:highlight w:val="none"/>
        </w:rPr>
        <w:t>接受联合体投标的，联合体资质按照联合体协议约定的分工认定；还应遵守以下规定：</w:t>
      </w:r>
    </w:p>
    <w:p>
      <w:pPr>
        <w:spacing w:line="360" w:lineRule="exact"/>
        <w:ind w:left="105" w:hanging="105" w:hangingChars="50"/>
        <w:rPr>
          <w:rFonts w:ascii="宋体" w:hAnsi="宋体"/>
          <w:strike/>
          <w:color w:val="auto"/>
          <w:highlight w:val="none"/>
        </w:rPr>
      </w:pPr>
      <w:r>
        <w:rPr>
          <w:rFonts w:hint="eastAsia" w:ascii="宋体" w:hAnsi="宋体" w:cs="宋体"/>
          <w:strike/>
          <w:color w:val="auto"/>
          <w:highlight w:val="none"/>
        </w:rPr>
        <w:t>（</w:t>
      </w:r>
      <w:r>
        <w:rPr>
          <w:rFonts w:ascii="宋体" w:hAnsi="宋体"/>
          <w:strike/>
          <w:color w:val="auto"/>
          <w:highlight w:val="none"/>
        </w:rPr>
        <w:t>1</w:t>
      </w:r>
      <w:r>
        <w:rPr>
          <w:rFonts w:hint="eastAsia" w:ascii="宋体" w:hAnsi="宋体" w:cs="宋体"/>
          <w:strike/>
          <w:color w:val="auto"/>
          <w:highlight w:val="none"/>
        </w:rPr>
        <w:t>）联合体各方应按招标文件提供的格式签订联合体协议书，明确联合体牵头人和各方权利义务；</w:t>
      </w:r>
    </w:p>
    <w:p>
      <w:pPr>
        <w:spacing w:line="360" w:lineRule="exact"/>
        <w:rPr>
          <w:rFonts w:ascii="宋体" w:hAnsi="宋体"/>
          <w:strike/>
          <w:color w:val="auto"/>
          <w:highlight w:val="none"/>
        </w:rPr>
      </w:pPr>
      <w:r>
        <w:rPr>
          <w:rFonts w:hint="eastAsia" w:ascii="宋体" w:hAnsi="宋体" w:cs="宋体"/>
          <w:strike/>
          <w:color w:val="auto"/>
          <w:highlight w:val="none"/>
        </w:rPr>
        <w:t>（</w:t>
      </w:r>
      <w:r>
        <w:rPr>
          <w:rFonts w:ascii="宋体" w:hAnsi="宋体"/>
          <w:strike/>
          <w:color w:val="auto"/>
          <w:highlight w:val="none"/>
        </w:rPr>
        <w:t>2</w:t>
      </w:r>
      <w:r>
        <w:rPr>
          <w:rFonts w:hint="eastAsia" w:ascii="宋体" w:hAnsi="宋体" w:cs="宋体"/>
          <w:strike/>
          <w:color w:val="auto"/>
          <w:highlight w:val="none"/>
        </w:rPr>
        <w:t>）由同一专业的单位组成的联合体，按照资质等级较低的单位确定资质等级；</w:t>
      </w:r>
    </w:p>
    <w:p>
      <w:pPr>
        <w:spacing w:line="360" w:lineRule="exact"/>
        <w:rPr>
          <w:rFonts w:ascii="宋体" w:hAnsi="宋体"/>
          <w:strike/>
          <w:color w:val="auto"/>
          <w:highlight w:val="none"/>
        </w:rPr>
      </w:pPr>
      <w:r>
        <w:rPr>
          <w:rFonts w:hint="eastAsia" w:ascii="宋体" w:hAnsi="宋体" w:cs="宋体"/>
          <w:strike/>
          <w:color w:val="auto"/>
          <w:highlight w:val="none"/>
        </w:rPr>
        <w:t>（</w:t>
      </w:r>
      <w:r>
        <w:rPr>
          <w:rFonts w:ascii="宋体" w:hAnsi="宋体"/>
          <w:strike/>
          <w:color w:val="auto"/>
          <w:highlight w:val="none"/>
        </w:rPr>
        <w:t>3</w:t>
      </w:r>
      <w:r>
        <w:rPr>
          <w:rFonts w:hint="eastAsia" w:ascii="宋体" w:hAnsi="宋体" w:cs="宋体"/>
          <w:strike/>
          <w:color w:val="auto"/>
          <w:highlight w:val="none"/>
        </w:rPr>
        <w:t>）联合体各方不得再以自己名义单独或参加其他联合体在同一标段中投标。</w:t>
      </w:r>
    </w:p>
    <w:p>
      <w:pPr>
        <w:spacing w:line="360" w:lineRule="exact"/>
        <w:rPr>
          <w:rFonts w:ascii="宋体" w:hAnsi="宋体"/>
          <w:color w:val="auto"/>
          <w:highlight w:val="none"/>
        </w:rPr>
      </w:pPr>
      <w:r>
        <w:rPr>
          <w:rFonts w:ascii="宋体" w:hAnsi="宋体"/>
          <w:color w:val="auto"/>
          <w:highlight w:val="none"/>
        </w:rPr>
        <w:t>1.3.</w:t>
      </w:r>
      <w:r>
        <w:rPr>
          <w:rFonts w:hint="eastAsia" w:ascii="宋体" w:hAnsi="宋体"/>
          <w:color w:val="auto"/>
          <w:highlight w:val="none"/>
        </w:rPr>
        <w:t>7</w:t>
      </w:r>
      <w:r>
        <w:rPr>
          <w:rFonts w:hint="eastAsia" w:ascii="宋体" w:hAnsi="宋体" w:cs="宋体"/>
          <w:color w:val="auto"/>
          <w:highlight w:val="none"/>
        </w:rPr>
        <w:t>投标人不得存在下列情形之一：</w:t>
      </w:r>
    </w:p>
    <w:p>
      <w:pPr>
        <w:spacing w:line="360" w:lineRule="exact"/>
        <w:rPr>
          <w:rFonts w:ascii="宋体" w:hAnsi="宋体"/>
          <w:color w:val="auto"/>
          <w:highlight w:val="none"/>
        </w:rPr>
      </w:pPr>
      <w:r>
        <w:rPr>
          <w:rFonts w:hint="eastAsia" w:ascii="宋体" w:hAnsi="宋体" w:cs="宋体"/>
          <w:color w:val="auto"/>
          <w:highlight w:val="none"/>
        </w:rPr>
        <w:t>（</w:t>
      </w:r>
      <w:r>
        <w:rPr>
          <w:rFonts w:ascii="宋体" w:hAnsi="宋体"/>
          <w:color w:val="auto"/>
          <w:highlight w:val="none"/>
        </w:rPr>
        <w:t>1</w:t>
      </w:r>
      <w:r>
        <w:rPr>
          <w:rFonts w:hint="eastAsia" w:ascii="宋体" w:hAnsi="宋体" w:cs="宋体"/>
          <w:color w:val="auto"/>
          <w:highlight w:val="none"/>
        </w:rPr>
        <w:t>）为招标人附属机构（单位）的；</w:t>
      </w:r>
    </w:p>
    <w:p>
      <w:pPr>
        <w:spacing w:line="360" w:lineRule="exact"/>
        <w:rPr>
          <w:rFonts w:ascii="宋体" w:hAnsi="宋体"/>
          <w:color w:val="auto"/>
          <w:highlight w:val="none"/>
        </w:rPr>
      </w:pPr>
      <w:r>
        <w:rPr>
          <w:rFonts w:hint="eastAsia" w:ascii="宋体" w:hAnsi="宋体" w:cs="宋体"/>
          <w:color w:val="auto"/>
          <w:highlight w:val="none"/>
        </w:rPr>
        <w:t>（</w:t>
      </w:r>
      <w:r>
        <w:rPr>
          <w:rFonts w:ascii="宋体" w:hAnsi="宋体"/>
          <w:color w:val="auto"/>
          <w:highlight w:val="none"/>
        </w:rPr>
        <w:t>2</w:t>
      </w:r>
      <w:r>
        <w:rPr>
          <w:rFonts w:hint="eastAsia" w:ascii="宋体" w:hAnsi="宋体" w:cs="宋体"/>
          <w:color w:val="auto"/>
          <w:highlight w:val="none"/>
        </w:rPr>
        <w:t>）被责令停业的；</w:t>
      </w:r>
    </w:p>
    <w:p>
      <w:pPr>
        <w:spacing w:line="360" w:lineRule="exact"/>
        <w:rPr>
          <w:rFonts w:ascii="宋体" w:hAnsi="宋体"/>
          <w:color w:val="auto"/>
          <w:highlight w:val="none"/>
        </w:rPr>
      </w:pPr>
      <w:r>
        <w:rPr>
          <w:rFonts w:hint="eastAsia" w:ascii="宋体" w:hAnsi="宋体" w:cs="宋体"/>
          <w:color w:val="auto"/>
          <w:highlight w:val="none"/>
        </w:rPr>
        <w:t>（</w:t>
      </w:r>
      <w:r>
        <w:rPr>
          <w:rFonts w:ascii="宋体" w:hAnsi="宋体"/>
          <w:color w:val="auto"/>
          <w:highlight w:val="none"/>
        </w:rPr>
        <w:t>3</w:t>
      </w:r>
      <w:r>
        <w:rPr>
          <w:rFonts w:hint="eastAsia" w:ascii="宋体" w:hAnsi="宋体" w:cs="宋体"/>
          <w:color w:val="auto"/>
          <w:highlight w:val="none"/>
        </w:rPr>
        <w:t>）被暂停或取消投标资格的；</w:t>
      </w:r>
    </w:p>
    <w:p>
      <w:pPr>
        <w:spacing w:line="360" w:lineRule="exact"/>
        <w:rPr>
          <w:rFonts w:ascii="宋体" w:hAnsi="宋体"/>
          <w:color w:val="auto"/>
          <w:highlight w:val="none"/>
        </w:rPr>
      </w:pPr>
      <w:r>
        <w:rPr>
          <w:rFonts w:hint="eastAsia" w:ascii="宋体" w:hAnsi="宋体" w:cs="宋体"/>
          <w:color w:val="auto"/>
          <w:highlight w:val="none"/>
        </w:rPr>
        <w:t>（</w:t>
      </w:r>
      <w:r>
        <w:rPr>
          <w:rFonts w:ascii="宋体" w:hAnsi="宋体"/>
          <w:color w:val="auto"/>
          <w:highlight w:val="none"/>
        </w:rPr>
        <w:t>4</w:t>
      </w:r>
      <w:r>
        <w:rPr>
          <w:rFonts w:hint="eastAsia" w:ascii="宋体" w:hAnsi="宋体" w:cs="宋体"/>
          <w:color w:val="auto"/>
          <w:highlight w:val="none"/>
        </w:rPr>
        <w:t>）财产被接管或冻结的。</w:t>
      </w:r>
    </w:p>
    <w:p>
      <w:pPr>
        <w:spacing w:line="360" w:lineRule="exact"/>
        <w:ind w:firstLine="411" w:firstLineChars="196"/>
        <w:rPr>
          <w:rFonts w:ascii="宋体" w:hAnsi="宋体"/>
          <w:color w:val="auto"/>
          <w:highlight w:val="none"/>
        </w:rPr>
      </w:pPr>
      <w:r>
        <w:rPr>
          <w:rFonts w:hint="eastAsia" w:ascii="宋体" w:hAnsi="宋体" w:cs="宋体"/>
          <w:color w:val="auto"/>
          <w:highlight w:val="none"/>
        </w:rPr>
        <w:t>投标人有上述情形的，招标人不得接受其投标；在投标人已递交投标文件后发现相应投标人有上述情形的，尚未进行投标入围的，取消其入围抽取资格；正在组织投标入围的，取消其入围抽取资格和入围资格，但不影响已入围的其他投标人的入围资格，继续组织投标入围至规定数量；投标入围抽取已结束并已经各方签字确认的，由评标委员会按“第三章评标办法</w:t>
      </w:r>
      <w:r>
        <w:rPr>
          <w:rFonts w:ascii="宋体" w:hAnsi="宋体"/>
          <w:color w:val="auto"/>
          <w:highlight w:val="none"/>
        </w:rPr>
        <w:t>2.1</w:t>
      </w:r>
      <w:r>
        <w:rPr>
          <w:rFonts w:hint="eastAsia" w:ascii="宋体" w:hAnsi="宋体" w:cs="宋体"/>
          <w:color w:val="auto"/>
          <w:highlight w:val="none"/>
        </w:rPr>
        <w:t>第（</w:t>
      </w:r>
      <w:r>
        <w:rPr>
          <w:rFonts w:ascii="宋体" w:hAnsi="宋体" w:cs="宋体"/>
          <w:color w:val="auto"/>
          <w:highlight w:val="none"/>
        </w:rPr>
        <w:t>10</w:t>
      </w:r>
      <w:r>
        <w:rPr>
          <w:rFonts w:hint="eastAsia" w:ascii="宋体" w:hAnsi="宋体" w:cs="宋体"/>
          <w:color w:val="auto"/>
          <w:highlight w:val="none"/>
        </w:rPr>
        <w:t>）项：不符合投标资格要求的；”的规定作废标处理。不进行投标入围的，作废标处理。</w:t>
      </w:r>
    </w:p>
    <w:p>
      <w:pPr>
        <w:spacing w:line="360" w:lineRule="exact"/>
        <w:rPr>
          <w:rFonts w:ascii="宋体" w:hAnsi="宋体"/>
          <w:color w:val="auto"/>
          <w:highlight w:val="none"/>
        </w:rPr>
      </w:pPr>
      <w:r>
        <w:rPr>
          <w:rFonts w:ascii="宋体" w:hAnsi="宋体"/>
          <w:color w:val="auto"/>
          <w:highlight w:val="none"/>
        </w:rPr>
        <w:t xml:space="preserve">1.4 </w:t>
      </w:r>
      <w:r>
        <w:rPr>
          <w:rFonts w:hint="eastAsia" w:ascii="宋体" w:hAnsi="宋体" w:cs="宋体"/>
          <w:color w:val="auto"/>
          <w:highlight w:val="none"/>
        </w:rPr>
        <w:t>费用承担</w:t>
      </w:r>
    </w:p>
    <w:p>
      <w:pPr>
        <w:spacing w:line="360" w:lineRule="exact"/>
        <w:rPr>
          <w:rFonts w:ascii="宋体" w:hAnsi="宋体"/>
          <w:color w:val="auto"/>
          <w:highlight w:val="none"/>
        </w:rPr>
      </w:pPr>
      <w:r>
        <w:rPr>
          <w:rFonts w:hint="eastAsia" w:ascii="宋体" w:hAnsi="宋体" w:cs="宋体"/>
          <w:color w:val="auto"/>
          <w:highlight w:val="none"/>
        </w:rPr>
        <w:t>投标人准备和参加投标活动发生的费用自理。</w:t>
      </w:r>
    </w:p>
    <w:p>
      <w:pPr>
        <w:spacing w:line="360" w:lineRule="exact"/>
        <w:rPr>
          <w:rFonts w:ascii="宋体" w:hAnsi="宋体"/>
          <w:color w:val="auto"/>
          <w:highlight w:val="none"/>
        </w:rPr>
      </w:pPr>
      <w:r>
        <w:rPr>
          <w:rFonts w:ascii="宋体" w:hAnsi="宋体"/>
          <w:color w:val="auto"/>
          <w:highlight w:val="none"/>
        </w:rPr>
        <w:t>1.5</w:t>
      </w:r>
      <w:r>
        <w:rPr>
          <w:rFonts w:hint="eastAsia" w:ascii="宋体" w:hAnsi="宋体" w:cs="宋体"/>
          <w:color w:val="auto"/>
          <w:highlight w:val="none"/>
        </w:rPr>
        <w:t>保密</w:t>
      </w:r>
    </w:p>
    <w:p>
      <w:pPr>
        <w:spacing w:line="360" w:lineRule="exact"/>
        <w:rPr>
          <w:rFonts w:ascii="宋体" w:hAnsi="宋体"/>
          <w:color w:val="auto"/>
          <w:highlight w:val="none"/>
        </w:rPr>
      </w:pPr>
      <w:r>
        <w:rPr>
          <w:rFonts w:hint="eastAsia" w:ascii="宋体" w:hAnsi="宋体" w:cs="宋体"/>
          <w:color w:val="auto"/>
          <w:highlight w:val="none"/>
        </w:rPr>
        <w:t>参与招标投标活动的各方应对招标文件和投标文件中的商业和技术等秘密保密，违者应对由此造成的后果承担法律责任。</w:t>
      </w:r>
    </w:p>
    <w:p>
      <w:pPr>
        <w:spacing w:line="360" w:lineRule="exact"/>
        <w:outlineLvl w:val="0"/>
        <w:rPr>
          <w:rFonts w:ascii="宋体" w:hAnsi="宋体"/>
          <w:color w:val="auto"/>
          <w:highlight w:val="none"/>
        </w:rPr>
      </w:pPr>
      <w:r>
        <w:rPr>
          <w:rFonts w:ascii="宋体" w:hAnsi="宋体"/>
          <w:color w:val="auto"/>
          <w:highlight w:val="none"/>
        </w:rPr>
        <w:t xml:space="preserve">2. </w:t>
      </w:r>
      <w:r>
        <w:rPr>
          <w:rFonts w:hint="eastAsia" w:ascii="宋体" w:hAnsi="宋体" w:cs="宋体"/>
          <w:color w:val="auto"/>
          <w:highlight w:val="none"/>
        </w:rPr>
        <w:t>招标文件</w:t>
      </w:r>
    </w:p>
    <w:p>
      <w:pPr>
        <w:spacing w:line="360" w:lineRule="exact"/>
        <w:outlineLvl w:val="0"/>
        <w:rPr>
          <w:rFonts w:ascii="宋体" w:hAnsi="宋体"/>
          <w:color w:val="auto"/>
          <w:highlight w:val="none"/>
        </w:rPr>
      </w:pPr>
      <w:r>
        <w:rPr>
          <w:rFonts w:ascii="宋体" w:hAnsi="宋体"/>
          <w:color w:val="auto"/>
          <w:highlight w:val="none"/>
        </w:rPr>
        <w:t xml:space="preserve">2.1 </w:t>
      </w:r>
      <w:r>
        <w:rPr>
          <w:rFonts w:hint="eastAsia" w:ascii="宋体" w:hAnsi="宋体" w:cs="宋体"/>
          <w:color w:val="auto"/>
          <w:highlight w:val="none"/>
        </w:rPr>
        <w:t>招标文件的组成</w:t>
      </w:r>
    </w:p>
    <w:p>
      <w:pPr>
        <w:spacing w:line="360" w:lineRule="exact"/>
        <w:rPr>
          <w:rFonts w:ascii="宋体" w:hAnsi="宋体"/>
          <w:color w:val="auto"/>
          <w:highlight w:val="none"/>
        </w:rPr>
      </w:pPr>
      <w:r>
        <w:rPr>
          <w:rFonts w:hint="eastAsia" w:ascii="宋体" w:hAnsi="宋体" w:cs="宋体"/>
          <w:color w:val="auto"/>
          <w:highlight w:val="none"/>
        </w:rPr>
        <w:t>本招标文件包括：</w:t>
      </w:r>
    </w:p>
    <w:p>
      <w:pPr>
        <w:spacing w:line="360" w:lineRule="exact"/>
        <w:rPr>
          <w:rFonts w:ascii="宋体" w:hAnsi="宋体"/>
          <w:color w:val="auto"/>
          <w:highlight w:val="none"/>
        </w:rPr>
      </w:pPr>
      <w:r>
        <w:rPr>
          <w:rFonts w:hint="eastAsia" w:ascii="宋体" w:hAnsi="宋体" w:cs="宋体"/>
          <w:color w:val="auto"/>
          <w:highlight w:val="none"/>
        </w:rPr>
        <w:t>（</w:t>
      </w:r>
      <w:r>
        <w:rPr>
          <w:rFonts w:ascii="宋体" w:hAnsi="宋体"/>
          <w:color w:val="auto"/>
          <w:highlight w:val="none"/>
        </w:rPr>
        <w:t>1</w:t>
      </w:r>
      <w:r>
        <w:rPr>
          <w:rFonts w:hint="eastAsia" w:ascii="宋体" w:hAnsi="宋体" w:cs="宋体"/>
          <w:color w:val="auto"/>
          <w:highlight w:val="none"/>
        </w:rPr>
        <w:t>）招标公告；</w:t>
      </w:r>
    </w:p>
    <w:p>
      <w:pPr>
        <w:spacing w:line="360" w:lineRule="exact"/>
        <w:rPr>
          <w:rFonts w:ascii="宋体" w:hAnsi="宋体"/>
          <w:color w:val="auto"/>
          <w:highlight w:val="none"/>
        </w:rPr>
      </w:pPr>
      <w:r>
        <w:rPr>
          <w:rFonts w:hint="eastAsia" w:ascii="宋体" w:hAnsi="宋体" w:cs="宋体"/>
          <w:color w:val="auto"/>
          <w:highlight w:val="none"/>
        </w:rPr>
        <w:t>（</w:t>
      </w:r>
      <w:r>
        <w:rPr>
          <w:rFonts w:ascii="宋体" w:hAnsi="宋体"/>
          <w:color w:val="auto"/>
          <w:highlight w:val="none"/>
        </w:rPr>
        <w:t>2</w:t>
      </w:r>
      <w:r>
        <w:rPr>
          <w:rFonts w:hint="eastAsia" w:ascii="宋体" w:hAnsi="宋体" w:cs="宋体"/>
          <w:color w:val="auto"/>
          <w:highlight w:val="none"/>
        </w:rPr>
        <w:t>）投标人须知；</w:t>
      </w:r>
    </w:p>
    <w:p>
      <w:pPr>
        <w:spacing w:line="360" w:lineRule="exact"/>
        <w:rPr>
          <w:rFonts w:ascii="宋体" w:hAnsi="宋体"/>
          <w:color w:val="auto"/>
          <w:highlight w:val="none"/>
        </w:rPr>
      </w:pPr>
      <w:r>
        <w:rPr>
          <w:rFonts w:hint="eastAsia" w:ascii="宋体" w:hAnsi="宋体" w:cs="宋体"/>
          <w:color w:val="auto"/>
          <w:highlight w:val="none"/>
        </w:rPr>
        <w:t>（</w:t>
      </w:r>
      <w:r>
        <w:rPr>
          <w:rFonts w:ascii="宋体" w:hAnsi="宋体"/>
          <w:color w:val="auto"/>
          <w:highlight w:val="none"/>
        </w:rPr>
        <w:t>3</w:t>
      </w:r>
      <w:r>
        <w:rPr>
          <w:rFonts w:hint="eastAsia" w:ascii="宋体" w:hAnsi="宋体" w:cs="宋体"/>
          <w:color w:val="auto"/>
          <w:highlight w:val="none"/>
        </w:rPr>
        <w:t>）评标办法；</w:t>
      </w:r>
    </w:p>
    <w:p>
      <w:pPr>
        <w:spacing w:line="360" w:lineRule="exact"/>
        <w:rPr>
          <w:rFonts w:ascii="宋体" w:hAnsi="宋体"/>
          <w:color w:val="auto"/>
          <w:highlight w:val="none"/>
        </w:rPr>
      </w:pPr>
      <w:r>
        <w:rPr>
          <w:rFonts w:hint="eastAsia" w:ascii="宋体" w:hAnsi="宋体" w:cs="宋体"/>
          <w:color w:val="auto"/>
          <w:highlight w:val="none"/>
        </w:rPr>
        <w:t>（</w:t>
      </w:r>
      <w:r>
        <w:rPr>
          <w:rFonts w:ascii="宋体" w:hAnsi="宋体"/>
          <w:color w:val="auto"/>
          <w:highlight w:val="none"/>
        </w:rPr>
        <w:t>4</w:t>
      </w:r>
      <w:r>
        <w:rPr>
          <w:rFonts w:hint="eastAsia" w:ascii="宋体" w:hAnsi="宋体" w:cs="宋体"/>
          <w:color w:val="auto"/>
          <w:highlight w:val="none"/>
        </w:rPr>
        <w:t>）投标文件格式；</w:t>
      </w:r>
    </w:p>
    <w:p>
      <w:pPr>
        <w:spacing w:line="360" w:lineRule="exact"/>
        <w:rPr>
          <w:rFonts w:ascii="宋体" w:hAnsi="宋体"/>
          <w:color w:val="auto"/>
          <w:highlight w:val="none"/>
        </w:rPr>
      </w:pPr>
      <w:r>
        <w:rPr>
          <w:rFonts w:hint="eastAsia" w:ascii="宋体" w:hAnsi="宋体" w:cs="宋体"/>
          <w:color w:val="auto"/>
          <w:highlight w:val="none"/>
        </w:rPr>
        <w:t>（</w:t>
      </w:r>
      <w:r>
        <w:rPr>
          <w:rFonts w:ascii="宋体" w:hAnsi="宋体"/>
          <w:color w:val="auto"/>
          <w:highlight w:val="none"/>
        </w:rPr>
        <w:t>5</w:t>
      </w:r>
      <w:r>
        <w:rPr>
          <w:rFonts w:hint="eastAsia" w:ascii="宋体" w:hAnsi="宋体" w:cs="宋体"/>
          <w:color w:val="auto"/>
          <w:highlight w:val="none"/>
        </w:rPr>
        <w:t>）其他要求和说明；</w:t>
      </w:r>
    </w:p>
    <w:p>
      <w:pPr>
        <w:spacing w:line="360" w:lineRule="exact"/>
        <w:rPr>
          <w:rFonts w:ascii="宋体" w:hAnsi="宋体"/>
          <w:color w:val="auto"/>
          <w:highlight w:val="none"/>
        </w:rPr>
      </w:pPr>
      <w:r>
        <w:rPr>
          <w:rFonts w:hint="eastAsia" w:ascii="宋体" w:hAnsi="宋体" w:cs="宋体"/>
          <w:color w:val="auto"/>
          <w:highlight w:val="none"/>
        </w:rPr>
        <w:t>（</w:t>
      </w:r>
      <w:r>
        <w:rPr>
          <w:rFonts w:ascii="宋体" w:hAnsi="宋体"/>
          <w:color w:val="auto"/>
          <w:highlight w:val="none"/>
        </w:rPr>
        <w:t>6</w:t>
      </w:r>
      <w:r>
        <w:rPr>
          <w:rFonts w:hint="eastAsia" w:ascii="宋体" w:hAnsi="宋体" w:cs="宋体"/>
          <w:color w:val="auto"/>
          <w:highlight w:val="none"/>
        </w:rPr>
        <w:t>）其他资料：</w:t>
      </w:r>
      <w:r>
        <w:rPr>
          <w:rFonts w:hint="eastAsia" w:ascii="宋体" w:hAnsi="宋体"/>
          <w:color w:val="auto"/>
          <w:highlight w:val="none"/>
          <w:u w:val="single"/>
        </w:rPr>
        <w:t>/</w:t>
      </w:r>
      <w:r>
        <w:rPr>
          <w:rFonts w:hint="eastAsia" w:ascii="宋体" w:hAnsi="宋体" w:cs="宋体"/>
          <w:color w:val="auto"/>
          <w:highlight w:val="none"/>
        </w:rPr>
        <w:t>。</w:t>
      </w:r>
    </w:p>
    <w:p>
      <w:pPr>
        <w:spacing w:line="360" w:lineRule="exact"/>
        <w:rPr>
          <w:rFonts w:ascii="宋体" w:hAnsi="宋体"/>
          <w:color w:val="auto"/>
          <w:highlight w:val="none"/>
        </w:rPr>
      </w:pPr>
      <w:r>
        <w:rPr>
          <w:rFonts w:hint="eastAsia" w:ascii="宋体" w:hAnsi="宋体" w:cs="宋体"/>
          <w:color w:val="auto"/>
          <w:highlight w:val="none"/>
        </w:rPr>
        <w:t>根据本章第</w:t>
      </w:r>
      <w:r>
        <w:rPr>
          <w:rFonts w:ascii="宋体" w:hAnsi="宋体"/>
          <w:color w:val="auto"/>
          <w:highlight w:val="none"/>
        </w:rPr>
        <w:t xml:space="preserve"> 2.2 </w:t>
      </w:r>
      <w:r>
        <w:rPr>
          <w:rFonts w:hint="eastAsia" w:ascii="宋体" w:hAnsi="宋体" w:cs="宋体"/>
          <w:color w:val="auto"/>
          <w:highlight w:val="none"/>
        </w:rPr>
        <w:t>款对招标文件所作的澄清、修改和补充，构成招标文件的组成部分。</w:t>
      </w:r>
    </w:p>
    <w:p>
      <w:pPr>
        <w:spacing w:line="360" w:lineRule="exact"/>
        <w:outlineLvl w:val="0"/>
        <w:rPr>
          <w:rFonts w:ascii="宋体" w:hAnsi="宋体"/>
          <w:color w:val="auto"/>
          <w:highlight w:val="none"/>
        </w:rPr>
      </w:pPr>
      <w:r>
        <w:rPr>
          <w:rFonts w:ascii="宋体" w:hAnsi="宋体"/>
          <w:color w:val="auto"/>
          <w:highlight w:val="none"/>
        </w:rPr>
        <w:t xml:space="preserve">2.2 </w:t>
      </w:r>
      <w:r>
        <w:rPr>
          <w:rFonts w:hint="eastAsia" w:ascii="宋体" w:hAnsi="宋体" w:cs="宋体"/>
          <w:color w:val="auto"/>
          <w:highlight w:val="none"/>
        </w:rPr>
        <w:t>招标文件的澄清、修改和补充</w:t>
      </w:r>
    </w:p>
    <w:p>
      <w:pPr>
        <w:spacing w:line="360" w:lineRule="exact"/>
        <w:rPr>
          <w:rFonts w:ascii="宋体" w:hAnsi="宋体"/>
          <w:color w:val="auto"/>
          <w:highlight w:val="none"/>
        </w:rPr>
      </w:pPr>
      <w:r>
        <w:rPr>
          <w:rFonts w:ascii="宋体" w:hAnsi="宋体"/>
          <w:color w:val="auto"/>
          <w:highlight w:val="none"/>
        </w:rPr>
        <w:t xml:space="preserve">2.2.1 </w:t>
      </w:r>
      <w:r>
        <w:rPr>
          <w:rFonts w:hint="eastAsia" w:ascii="宋体" w:hAnsi="宋体" w:cs="宋体"/>
          <w:color w:val="auto"/>
          <w:highlight w:val="none"/>
        </w:rPr>
        <w:t>投标人应仔细阅读和检查招标文件的全部内容。如发现缺页或附件不全，应及时向招标人提出，以便补齐。如有疑问，应在</w:t>
      </w:r>
      <w:r>
        <w:rPr>
          <w:rFonts w:hint="eastAsia" w:ascii="宋体" w:hAnsi="宋体"/>
          <w:color w:val="auto"/>
          <w:highlight w:val="none"/>
          <w:u w:val="single"/>
        </w:rPr>
        <w:t>2022</w:t>
      </w:r>
      <w:r>
        <w:rPr>
          <w:rFonts w:hint="eastAsia" w:ascii="宋体" w:hAnsi="宋体"/>
          <w:color w:val="auto"/>
          <w:highlight w:val="none"/>
        </w:rPr>
        <w:t>年</w:t>
      </w:r>
      <w:r>
        <w:rPr>
          <w:rFonts w:hint="eastAsia" w:ascii="宋体" w:hAnsi="宋体"/>
          <w:color w:val="auto"/>
          <w:highlight w:val="none"/>
          <w:u w:val="single"/>
        </w:rPr>
        <w:t xml:space="preserve"> / </w:t>
      </w:r>
      <w:r>
        <w:rPr>
          <w:rFonts w:hint="eastAsia" w:ascii="宋体" w:hAnsi="宋体"/>
          <w:color w:val="auto"/>
          <w:highlight w:val="none"/>
        </w:rPr>
        <w:t>月</w:t>
      </w:r>
      <w:r>
        <w:rPr>
          <w:rFonts w:hint="eastAsia" w:ascii="宋体" w:hAnsi="宋体"/>
          <w:color w:val="auto"/>
          <w:highlight w:val="none"/>
          <w:u w:val="single"/>
        </w:rPr>
        <w:t xml:space="preserve">  / </w:t>
      </w:r>
      <w:r>
        <w:rPr>
          <w:rFonts w:hint="eastAsia" w:ascii="宋体" w:hAnsi="宋体"/>
          <w:color w:val="auto"/>
          <w:highlight w:val="none"/>
        </w:rPr>
        <w:t>日</w:t>
      </w:r>
      <w:r>
        <w:rPr>
          <w:rFonts w:hint="eastAsia" w:ascii="宋体" w:hAnsi="宋体"/>
          <w:color w:val="auto"/>
          <w:highlight w:val="none"/>
          <w:u w:val="single"/>
        </w:rPr>
        <w:t xml:space="preserve"> /  </w:t>
      </w:r>
      <w:r>
        <w:rPr>
          <w:rFonts w:hint="eastAsia" w:ascii="宋体" w:hAnsi="宋体"/>
          <w:color w:val="auto"/>
          <w:highlight w:val="none"/>
        </w:rPr>
        <w:t>时</w:t>
      </w:r>
      <w:r>
        <w:rPr>
          <w:rFonts w:hint="eastAsia" w:ascii="宋体" w:hAnsi="宋体" w:cs="宋体"/>
          <w:color w:val="auto"/>
          <w:highlight w:val="none"/>
        </w:rPr>
        <w:t>前以书面形式（包括信函、电报、传真、有效的电子文件等可以有形地表现所载内容的形式，下同），要求招标人对招标文件予以澄清。</w:t>
      </w:r>
    </w:p>
    <w:p>
      <w:pPr>
        <w:spacing w:line="360" w:lineRule="exact"/>
        <w:rPr>
          <w:rFonts w:ascii="宋体" w:hAnsi="宋体" w:cs="宋体"/>
          <w:color w:val="auto"/>
          <w:highlight w:val="none"/>
        </w:rPr>
      </w:pPr>
      <w:r>
        <w:rPr>
          <w:rFonts w:ascii="宋体" w:hAnsi="宋体"/>
          <w:color w:val="auto"/>
          <w:highlight w:val="none"/>
        </w:rPr>
        <w:t xml:space="preserve">2.2.2 </w:t>
      </w:r>
      <w:r>
        <w:rPr>
          <w:rFonts w:hint="eastAsia" w:ascii="宋体" w:hAnsi="宋体" w:cs="宋体"/>
          <w:color w:val="auto"/>
          <w:highlight w:val="none"/>
        </w:rPr>
        <w:t xml:space="preserve">对招标文件需要作出澄清、修改或者补充的，招标人以书面形式或有效的数据电文形式发给所有投标人。（注：采用电子投标的项目，潜在投标人应密切关注电子招投标交易平台，如有补充文件，投标人必须下载最新的澄清（补充）文件并导入投标文件制作工具， 否则将无法上传至交易平台。） </w:t>
      </w:r>
    </w:p>
    <w:p>
      <w:pPr>
        <w:spacing w:line="360" w:lineRule="exact"/>
        <w:outlineLvl w:val="0"/>
        <w:rPr>
          <w:rFonts w:ascii="宋体" w:hAnsi="宋体"/>
          <w:color w:val="auto"/>
          <w:highlight w:val="none"/>
        </w:rPr>
      </w:pPr>
      <w:r>
        <w:rPr>
          <w:rFonts w:ascii="宋体" w:hAnsi="宋体"/>
          <w:color w:val="auto"/>
          <w:highlight w:val="none"/>
        </w:rPr>
        <w:t xml:space="preserve">3. </w:t>
      </w:r>
      <w:r>
        <w:rPr>
          <w:rFonts w:hint="eastAsia" w:ascii="宋体" w:hAnsi="宋体" w:cs="宋体"/>
          <w:color w:val="auto"/>
          <w:highlight w:val="none"/>
        </w:rPr>
        <w:t>投标文件</w:t>
      </w:r>
    </w:p>
    <w:p>
      <w:pPr>
        <w:spacing w:line="360" w:lineRule="exact"/>
        <w:outlineLvl w:val="0"/>
        <w:rPr>
          <w:rFonts w:ascii="宋体" w:hAnsi="宋体"/>
          <w:color w:val="auto"/>
          <w:highlight w:val="none"/>
        </w:rPr>
      </w:pPr>
      <w:r>
        <w:rPr>
          <w:rFonts w:ascii="宋体" w:hAnsi="宋体"/>
          <w:color w:val="auto"/>
          <w:highlight w:val="none"/>
        </w:rPr>
        <w:t xml:space="preserve">3.1 </w:t>
      </w:r>
      <w:r>
        <w:rPr>
          <w:rFonts w:hint="eastAsia" w:ascii="宋体" w:hAnsi="宋体" w:cs="宋体"/>
          <w:color w:val="auto"/>
          <w:highlight w:val="none"/>
        </w:rPr>
        <w:t>投标文件的组成</w:t>
      </w:r>
    </w:p>
    <w:p>
      <w:pPr>
        <w:spacing w:line="360" w:lineRule="exact"/>
        <w:rPr>
          <w:rFonts w:ascii="宋体" w:hAnsi="宋体"/>
          <w:b/>
          <w:bCs/>
          <w:color w:val="auto"/>
          <w:highlight w:val="none"/>
          <w:u w:val="single"/>
        </w:rPr>
      </w:pPr>
      <w:r>
        <w:rPr>
          <w:rFonts w:hint="eastAsia" w:ascii="宋体" w:hAnsi="宋体" w:cs="宋体"/>
          <w:color w:val="auto"/>
          <w:highlight w:val="none"/>
        </w:rPr>
        <w:t>本项目</w:t>
      </w:r>
      <w:r>
        <w:rPr>
          <w:rFonts w:hint="eastAsia" w:ascii="宋体" w:hAnsi="宋体" w:cs="宋体"/>
          <w:b/>
          <w:bCs/>
          <w:color w:val="auto"/>
          <w:highlight w:val="none"/>
          <w:u w:val="single"/>
        </w:rPr>
        <w:t>（采用电子投标方式</w:t>
      </w:r>
      <w:r>
        <w:rPr>
          <w:rFonts w:hint="eastAsia" w:ascii="宋体" w:hAnsi="宋体" w:cs="宋体"/>
          <w:b/>
          <w:bCs/>
          <w:strike/>
          <w:color w:val="auto"/>
          <w:highlight w:val="none"/>
          <w:u w:val="single"/>
        </w:rPr>
        <w:t>／纸质投标方式</w:t>
      </w:r>
      <w:r>
        <w:rPr>
          <w:rFonts w:hint="eastAsia" w:ascii="宋体" w:hAnsi="宋体" w:cs="宋体"/>
          <w:b/>
          <w:bCs/>
          <w:color w:val="auto"/>
          <w:highlight w:val="none"/>
          <w:u w:val="single"/>
        </w:rPr>
        <w:t>）。</w:t>
      </w:r>
    </w:p>
    <w:p>
      <w:pPr>
        <w:spacing w:line="360" w:lineRule="exact"/>
        <w:rPr>
          <w:rFonts w:ascii="宋体" w:hAnsi="宋体"/>
          <w:color w:val="auto"/>
          <w:highlight w:val="none"/>
        </w:rPr>
      </w:pPr>
      <w:r>
        <w:rPr>
          <w:rFonts w:ascii="宋体" w:hAnsi="宋体"/>
          <w:color w:val="auto"/>
          <w:highlight w:val="none"/>
        </w:rPr>
        <w:t xml:space="preserve">3.1.1 </w:t>
      </w:r>
      <w:r>
        <w:rPr>
          <w:rFonts w:hint="eastAsia" w:ascii="宋体" w:hAnsi="宋体" w:cs="宋体"/>
          <w:color w:val="auto"/>
          <w:highlight w:val="none"/>
        </w:rPr>
        <w:t>投标文件应包括下列内容：</w:t>
      </w:r>
    </w:p>
    <w:p>
      <w:pPr>
        <w:spacing w:line="360" w:lineRule="exact"/>
        <w:rPr>
          <w:rFonts w:ascii="宋体" w:hAnsi="宋体"/>
          <w:color w:val="auto"/>
          <w:highlight w:val="none"/>
        </w:rPr>
      </w:pPr>
      <w:r>
        <w:rPr>
          <w:rFonts w:hint="eastAsia" w:ascii="宋体" w:hAnsi="宋体" w:cs="宋体"/>
          <w:color w:val="auto"/>
          <w:highlight w:val="none"/>
        </w:rPr>
        <w:t>（</w:t>
      </w:r>
      <w:r>
        <w:rPr>
          <w:rFonts w:ascii="宋体" w:hAnsi="宋体"/>
          <w:color w:val="auto"/>
          <w:highlight w:val="none"/>
        </w:rPr>
        <w:t>1</w:t>
      </w:r>
      <w:r>
        <w:rPr>
          <w:rFonts w:hint="eastAsia" w:ascii="宋体" w:hAnsi="宋体" w:cs="宋体"/>
          <w:color w:val="auto"/>
          <w:highlight w:val="none"/>
        </w:rPr>
        <w:t>）封面（格式见“投标文件格式附件</w:t>
      </w:r>
      <w:r>
        <w:rPr>
          <w:rFonts w:ascii="宋体" w:hAnsi="宋体"/>
          <w:color w:val="auto"/>
          <w:highlight w:val="none"/>
        </w:rPr>
        <w:t>1</w:t>
      </w:r>
      <w:r>
        <w:rPr>
          <w:rFonts w:hint="eastAsia" w:ascii="宋体" w:hAnsi="宋体" w:cs="宋体"/>
          <w:color w:val="auto"/>
          <w:highlight w:val="none"/>
        </w:rPr>
        <w:t>”）</w:t>
      </w:r>
    </w:p>
    <w:p>
      <w:pPr>
        <w:spacing w:line="360" w:lineRule="exact"/>
        <w:rPr>
          <w:rFonts w:ascii="宋体" w:hAnsi="宋体"/>
          <w:color w:val="auto"/>
          <w:highlight w:val="none"/>
        </w:rPr>
      </w:pPr>
      <w:r>
        <w:rPr>
          <w:rFonts w:hint="eastAsia" w:ascii="宋体" w:hAnsi="宋体" w:cs="宋体"/>
          <w:color w:val="auto"/>
          <w:highlight w:val="none"/>
        </w:rPr>
        <w:t>（</w:t>
      </w:r>
      <w:r>
        <w:rPr>
          <w:rFonts w:ascii="宋体" w:hAnsi="宋体"/>
          <w:color w:val="auto"/>
          <w:highlight w:val="none"/>
        </w:rPr>
        <w:t>2</w:t>
      </w:r>
      <w:r>
        <w:rPr>
          <w:rFonts w:hint="eastAsia" w:ascii="宋体" w:hAnsi="宋体" w:cs="宋体"/>
          <w:color w:val="auto"/>
          <w:highlight w:val="none"/>
        </w:rPr>
        <w:t>）投标函（格式见“投标文件格式附件</w:t>
      </w:r>
      <w:r>
        <w:rPr>
          <w:rFonts w:ascii="宋体" w:hAnsi="宋体"/>
          <w:color w:val="auto"/>
          <w:highlight w:val="none"/>
        </w:rPr>
        <w:t>2</w:t>
      </w:r>
      <w:r>
        <w:rPr>
          <w:rFonts w:hint="eastAsia" w:ascii="宋体" w:hAnsi="宋体" w:cs="宋体"/>
          <w:color w:val="auto"/>
          <w:highlight w:val="none"/>
        </w:rPr>
        <w:t>”）；</w:t>
      </w:r>
    </w:p>
    <w:p>
      <w:pPr>
        <w:spacing w:line="360" w:lineRule="exact"/>
        <w:rPr>
          <w:rFonts w:ascii="宋体" w:hAnsi="宋体"/>
          <w:color w:val="auto"/>
          <w:highlight w:val="none"/>
        </w:rPr>
      </w:pPr>
      <w:r>
        <w:rPr>
          <w:rFonts w:hint="eastAsia" w:ascii="宋体" w:hAnsi="宋体" w:cs="宋体"/>
          <w:color w:val="auto"/>
          <w:highlight w:val="none"/>
        </w:rPr>
        <w:t>（</w:t>
      </w:r>
      <w:r>
        <w:rPr>
          <w:rFonts w:ascii="宋体" w:hAnsi="宋体"/>
          <w:color w:val="auto"/>
          <w:highlight w:val="none"/>
        </w:rPr>
        <w:t>3</w:t>
      </w:r>
      <w:r>
        <w:rPr>
          <w:rFonts w:hint="eastAsia" w:ascii="宋体" w:hAnsi="宋体" w:cs="宋体"/>
          <w:color w:val="auto"/>
          <w:highlight w:val="none"/>
        </w:rPr>
        <w:t>）法定代表人身份证明或附有法定代表人身份证明的授权委托书（格式见“投标文件格式附件</w:t>
      </w:r>
      <w:r>
        <w:rPr>
          <w:rFonts w:ascii="宋体" w:hAnsi="宋体"/>
          <w:color w:val="auto"/>
          <w:highlight w:val="none"/>
        </w:rPr>
        <w:t>3</w:t>
      </w:r>
      <w:r>
        <w:rPr>
          <w:rFonts w:hint="eastAsia" w:ascii="宋体" w:hAnsi="宋体" w:cs="宋体"/>
          <w:color w:val="auto"/>
          <w:highlight w:val="none"/>
        </w:rPr>
        <w:t>”）；</w:t>
      </w:r>
    </w:p>
    <w:p>
      <w:pPr>
        <w:spacing w:line="360" w:lineRule="exact"/>
        <w:rPr>
          <w:rFonts w:ascii="宋体" w:hAnsi="宋体"/>
          <w:color w:val="auto"/>
          <w:highlight w:val="none"/>
        </w:rPr>
      </w:pPr>
      <w:r>
        <w:rPr>
          <w:rFonts w:hint="eastAsia" w:ascii="宋体" w:hAnsi="宋体" w:cs="宋体"/>
          <w:color w:val="auto"/>
          <w:highlight w:val="none"/>
        </w:rPr>
        <w:t>（</w:t>
      </w:r>
      <w:r>
        <w:rPr>
          <w:rFonts w:hint="eastAsia" w:ascii="宋体" w:hAnsi="宋体"/>
          <w:color w:val="auto"/>
          <w:highlight w:val="none"/>
        </w:rPr>
        <w:t>4</w:t>
      </w:r>
      <w:r>
        <w:rPr>
          <w:rFonts w:hint="eastAsia" w:ascii="宋体" w:hAnsi="宋体" w:cs="宋体"/>
          <w:color w:val="auto"/>
          <w:highlight w:val="none"/>
        </w:rPr>
        <w:t>）承诺书（格式见“投标文件格式附件</w:t>
      </w:r>
      <w:r>
        <w:rPr>
          <w:rFonts w:hint="eastAsia" w:ascii="宋体" w:hAnsi="宋体"/>
          <w:color w:val="auto"/>
          <w:highlight w:val="none"/>
        </w:rPr>
        <w:t>4</w:t>
      </w:r>
      <w:r>
        <w:rPr>
          <w:rFonts w:hint="eastAsia" w:ascii="宋体" w:hAnsi="宋体" w:cs="宋体"/>
          <w:color w:val="auto"/>
          <w:highlight w:val="none"/>
        </w:rPr>
        <w:t>”）；</w:t>
      </w:r>
    </w:p>
    <w:p>
      <w:pPr>
        <w:spacing w:line="360" w:lineRule="exact"/>
        <w:rPr>
          <w:rFonts w:ascii="宋体" w:hAnsi="宋体"/>
          <w:color w:val="auto"/>
          <w:highlight w:val="none"/>
        </w:rPr>
      </w:pPr>
      <w:r>
        <w:rPr>
          <w:rFonts w:hint="eastAsia" w:ascii="宋体" w:hAnsi="宋体" w:cs="宋体"/>
          <w:color w:val="auto"/>
          <w:highlight w:val="none"/>
        </w:rPr>
        <w:t>（</w:t>
      </w:r>
      <w:r>
        <w:rPr>
          <w:rFonts w:hint="eastAsia" w:ascii="宋体" w:hAnsi="宋体"/>
          <w:color w:val="auto"/>
          <w:highlight w:val="none"/>
        </w:rPr>
        <w:t>5</w:t>
      </w:r>
      <w:r>
        <w:rPr>
          <w:rFonts w:hint="eastAsia" w:ascii="宋体" w:hAnsi="宋体" w:cs="宋体"/>
          <w:color w:val="auto"/>
          <w:highlight w:val="none"/>
        </w:rPr>
        <w:t>）资格审查资料（格式见“投标文件格式附件</w:t>
      </w:r>
      <w:r>
        <w:rPr>
          <w:rFonts w:hint="eastAsia" w:ascii="宋体" w:hAnsi="宋体"/>
          <w:color w:val="auto"/>
          <w:highlight w:val="none"/>
        </w:rPr>
        <w:t>5</w:t>
      </w:r>
      <w:r>
        <w:rPr>
          <w:rFonts w:hint="eastAsia" w:ascii="宋体" w:hAnsi="宋体" w:cs="宋体"/>
          <w:color w:val="auto"/>
          <w:highlight w:val="none"/>
        </w:rPr>
        <w:t>”）；</w:t>
      </w:r>
    </w:p>
    <w:p>
      <w:pPr>
        <w:spacing w:line="360" w:lineRule="exact"/>
        <w:rPr>
          <w:rFonts w:ascii="宋体" w:hAnsi="宋体"/>
          <w:strike/>
          <w:color w:val="auto"/>
          <w:highlight w:val="none"/>
        </w:rPr>
      </w:pPr>
      <w:r>
        <w:rPr>
          <w:rFonts w:hint="eastAsia" w:ascii="宋体" w:hAnsi="宋体"/>
          <w:strike/>
          <w:color w:val="auto"/>
          <w:highlight w:val="none"/>
        </w:rPr>
        <w:t>（6） 技术标响应资料（格式见“投标文件格式附件 6”）；</w:t>
      </w:r>
    </w:p>
    <w:p>
      <w:pPr>
        <w:spacing w:line="360" w:lineRule="exact"/>
        <w:rPr>
          <w:rFonts w:ascii="宋体" w:hAnsi="宋体"/>
          <w:color w:val="auto"/>
          <w:highlight w:val="none"/>
        </w:rPr>
      </w:pPr>
      <w:r>
        <w:rPr>
          <w:rFonts w:hint="eastAsia" w:ascii="宋体" w:hAnsi="宋体" w:cs="宋体"/>
          <w:color w:val="auto"/>
          <w:highlight w:val="none"/>
        </w:rPr>
        <w:t>（</w:t>
      </w:r>
      <w:r>
        <w:rPr>
          <w:rFonts w:hint="eastAsia" w:ascii="宋体" w:hAnsi="宋体"/>
          <w:color w:val="auto"/>
          <w:highlight w:val="none"/>
        </w:rPr>
        <w:t>7</w:t>
      </w:r>
      <w:r>
        <w:rPr>
          <w:rFonts w:hint="eastAsia" w:ascii="宋体" w:hAnsi="宋体" w:cs="宋体"/>
          <w:color w:val="auto"/>
          <w:highlight w:val="none"/>
        </w:rPr>
        <w:t>）投标人需要说明的其他资料。</w:t>
      </w:r>
    </w:p>
    <w:p>
      <w:pPr>
        <w:spacing w:line="360" w:lineRule="exact"/>
        <w:rPr>
          <w:rFonts w:ascii="宋体" w:hAnsi="宋体" w:cs="宋体"/>
          <w:b/>
          <w:color w:val="auto"/>
          <w:highlight w:val="none"/>
        </w:rPr>
      </w:pPr>
      <w:r>
        <w:rPr>
          <w:rFonts w:ascii="宋体" w:hAnsi="宋体"/>
          <w:b/>
          <w:color w:val="auto"/>
          <w:highlight w:val="none"/>
        </w:rPr>
        <w:t>3.1.2</w:t>
      </w:r>
      <w:r>
        <w:rPr>
          <w:rFonts w:hint="eastAsia" w:ascii="宋体" w:hAnsi="宋体" w:cs="宋体"/>
          <w:b/>
          <w:color w:val="auto"/>
          <w:highlight w:val="none"/>
        </w:rPr>
        <w:t xml:space="preserve">采用电子投标的项目，投标人递交的加密电子投标文件即为投标文件正本，不再要求投标人在投标时提交副本和纸质投标文件，另外，需要投标人提供非加密电子文件作为备份文件来应对开标期间的特殊情况。 </w:t>
      </w:r>
    </w:p>
    <w:p>
      <w:pPr>
        <w:spacing w:line="360" w:lineRule="exact"/>
        <w:rPr>
          <w:rFonts w:ascii="宋体" w:hAnsi="宋体" w:cs="宋体"/>
          <w:b/>
          <w:color w:val="auto"/>
          <w:highlight w:val="none"/>
        </w:rPr>
      </w:pPr>
      <w:r>
        <w:rPr>
          <w:rFonts w:hint="eastAsia" w:ascii="宋体" w:hAnsi="宋体" w:cs="宋体"/>
          <w:b/>
          <w:color w:val="auto"/>
          <w:highlight w:val="none"/>
        </w:rPr>
        <w:t>3.1.3 采用电子投标的项目，投标人应通过新点的“浙江省投标文件制作工具（越城版）” 根据电子招标文件的要求规范制作投标文件。（技术咨询：4009980000）</w:t>
      </w:r>
    </w:p>
    <w:p>
      <w:pPr>
        <w:spacing w:line="360" w:lineRule="auto"/>
        <w:rPr>
          <w:rFonts w:ascii="宋体" w:hAnsi="宋体" w:cs="宋体"/>
          <w:b/>
          <w:bCs/>
          <w:color w:val="auto"/>
          <w:highlight w:val="none"/>
        </w:rPr>
      </w:pPr>
      <w:r>
        <w:rPr>
          <w:rFonts w:ascii="宋体" w:hAnsi="宋体" w:cs="宋体"/>
          <w:b/>
          <w:color w:val="auto"/>
          <w:highlight w:val="none"/>
        </w:rPr>
        <w:t>3.1.4</w:t>
      </w:r>
      <w:r>
        <w:rPr>
          <w:rFonts w:hint="eastAsia" w:ascii="宋体" w:hAnsi="宋体" w:cs="宋体"/>
          <w:b/>
          <w:color w:val="auto"/>
          <w:highlight w:val="none"/>
        </w:rPr>
        <w:t>上述电子投标文件中的各组成部分，投标人应按第四章投标文件格式中的要求签字、盖章、盖电子印章</w:t>
      </w:r>
      <w:r>
        <w:rPr>
          <w:rFonts w:hint="eastAsia" w:ascii="宋体" w:hAnsi="宋体"/>
          <w:b/>
          <w:bCs/>
          <w:color w:val="auto"/>
          <w:highlight w:val="none"/>
        </w:rPr>
        <w:t>（不采用电子投标的项目，第四章“</w:t>
      </w:r>
      <w:bookmarkStart w:id="28" w:name="_Hlk11847408"/>
      <w:r>
        <w:rPr>
          <w:rFonts w:hint="eastAsia" w:ascii="宋体" w:hAnsi="宋体"/>
          <w:b/>
          <w:bCs/>
          <w:color w:val="auto"/>
          <w:highlight w:val="none"/>
        </w:rPr>
        <w:t>投标文件格式</w:t>
      </w:r>
      <w:bookmarkEnd w:id="28"/>
      <w:r>
        <w:rPr>
          <w:rFonts w:hint="eastAsia" w:ascii="宋体" w:hAnsi="宋体"/>
          <w:b/>
          <w:bCs/>
          <w:color w:val="auto"/>
          <w:highlight w:val="none"/>
        </w:rPr>
        <w:t>”中各处要求“盖投标人电子公章”和“盖法定代表人电子印章”均视作要求“盖章”）</w:t>
      </w:r>
      <w:r>
        <w:rPr>
          <w:rFonts w:hint="eastAsia" w:ascii="宋体" w:hAnsi="宋体" w:cs="宋体"/>
          <w:b/>
          <w:bCs/>
          <w:color w:val="auto"/>
          <w:highlight w:val="none"/>
        </w:rPr>
        <w:t>。</w:t>
      </w:r>
    </w:p>
    <w:p>
      <w:pPr>
        <w:spacing w:line="360" w:lineRule="exact"/>
        <w:rPr>
          <w:rFonts w:ascii="宋体" w:hAnsi="宋体" w:cs="宋体"/>
          <w:b/>
          <w:color w:val="auto"/>
          <w:highlight w:val="none"/>
        </w:rPr>
      </w:pPr>
      <w:r>
        <w:rPr>
          <w:rFonts w:hint="eastAsia" w:ascii="宋体" w:hAnsi="宋体" w:cs="宋体"/>
          <w:b/>
          <w:color w:val="auto"/>
          <w:highlight w:val="none"/>
        </w:rPr>
        <w:t>3.1.5 电子投标文件递交要求（采用电子投标的项目）</w:t>
      </w:r>
    </w:p>
    <w:p>
      <w:pPr>
        <w:spacing w:line="360" w:lineRule="exact"/>
        <w:rPr>
          <w:rFonts w:ascii="宋体" w:hAnsi="宋体" w:cs="宋体"/>
          <w:b/>
          <w:color w:val="auto"/>
          <w:highlight w:val="none"/>
        </w:rPr>
      </w:pPr>
      <w:r>
        <w:rPr>
          <w:rFonts w:hint="eastAsia" w:ascii="宋体" w:hAnsi="宋体" w:cs="宋体"/>
          <w:b/>
          <w:color w:val="auto"/>
          <w:highlight w:val="none"/>
        </w:rPr>
        <w:t>3.1.5.1 投标人应将完整的加密电子投标文件在投标截止时间前上传到电子招投标交易平台 （以服务器记录的上传完成时间为准），未上传电子投标文件的视作放弃投标，逾期上传的电子投标文件视为无效投标。</w:t>
      </w:r>
    </w:p>
    <w:p>
      <w:pPr>
        <w:spacing w:line="360" w:lineRule="exact"/>
        <w:rPr>
          <w:rFonts w:ascii="宋体" w:hAnsi="宋体" w:cs="宋体"/>
          <w:b/>
          <w:strike/>
          <w:color w:val="auto"/>
          <w:highlight w:val="none"/>
        </w:rPr>
      </w:pPr>
      <w:r>
        <w:rPr>
          <w:rFonts w:hint="eastAsia" w:ascii="宋体" w:hAnsi="宋体" w:cs="宋体"/>
          <w:b/>
          <w:color w:val="auto"/>
          <w:highlight w:val="none"/>
        </w:rPr>
        <w:t xml:space="preserve">3.1.5.2 </w:t>
      </w:r>
      <w:r>
        <w:rPr>
          <w:rFonts w:hint="eastAsia" w:ascii="宋体" w:hAnsi="宋体" w:cs="宋体"/>
          <w:b/>
          <w:strike/>
          <w:color w:val="auto"/>
          <w:highlight w:val="none"/>
        </w:rPr>
        <w:t>电子投标文件中的委托授权书上“委托代理人”可不签字盖章。上述材料的其他各处和电子投标文件中的其他各组成部分，投标人应按以下要求加盖电子印章（注：电子投标文件中的委托授权书上“委托代理人”可不签字盖章.）</w:t>
      </w:r>
    </w:p>
    <w:p>
      <w:pPr>
        <w:spacing w:line="360" w:lineRule="exact"/>
        <w:rPr>
          <w:rFonts w:ascii="宋体" w:hAnsi="宋体" w:cs="宋体"/>
          <w:b/>
          <w:strike/>
          <w:color w:val="auto"/>
          <w:highlight w:val="none"/>
        </w:rPr>
      </w:pPr>
      <w:r>
        <w:rPr>
          <w:rFonts w:hint="eastAsia" w:ascii="宋体" w:hAnsi="宋体" w:cs="宋体"/>
          <w:b/>
          <w:strike/>
          <w:color w:val="auto"/>
          <w:highlight w:val="none"/>
        </w:rPr>
        <w:t>3.1.5.3要求为“盖章”、“签字”和“签字或者盖章”之处的，统一加盖电子印章；</w:t>
      </w:r>
    </w:p>
    <w:p>
      <w:pPr>
        <w:spacing w:line="360" w:lineRule="exact"/>
        <w:rPr>
          <w:rFonts w:ascii="宋体" w:hAnsi="宋体" w:cs="宋体"/>
          <w:b/>
          <w:strike/>
          <w:color w:val="auto"/>
          <w:highlight w:val="none"/>
        </w:rPr>
      </w:pPr>
      <w:r>
        <w:rPr>
          <w:rFonts w:hint="eastAsia" w:ascii="宋体" w:hAnsi="宋体" w:cs="宋体"/>
          <w:b/>
          <w:strike/>
          <w:color w:val="auto"/>
          <w:highlight w:val="none"/>
        </w:rPr>
        <w:t>3.1.5.4 要求盖章或者签字的主体为“法定代表人”和“法定代表人或其委托代理人”的，统一加盖投标人法定代表人电子印章。</w:t>
      </w:r>
    </w:p>
    <w:p>
      <w:pPr>
        <w:spacing w:line="360" w:lineRule="exact"/>
        <w:rPr>
          <w:rFonts w:ascii="宋体" w:hAnsi="宋体" w:cs="宋体"/>
          <w:b/>
          <w:strike/>
          <w:color w:val="auto"/>
          <w:highlight w:val="none"/>
        </w:rPr>
      </w:pPr>
      <w:r>
        <w:rPr>
          <w:rFonts w:hint="eastAsia" w:ascii="宋体" w:hAnsi="宋体" w:cs="宋体"/>
          <w:b/>
          <w:strike/>
          <w:color w:val="auto"/>
          <w:highlight w:val="none"/>
        </w:rPr>
        <w:t>3.1.5.5 要求盖章或者签字的主体为投标人的，应加盖投标人电子印章；联合体投标的，应按照盖章规范加盖相关联合成员单位的电子印章。</w:t>
      </w:r>
    </w:p>
    <w:p>
      <w:pPr>
        <w:spacing w:line="360" w:lineRule="exact"/>
        <w:rPr>
          <w:rFonts w:ascii="宋体" w:hAnsi="宋体" w:cs="宋体"/>
          <w:b/>
          <w:color w:val="auto"/>
          <w:highlight w:val="none"/>
        </w:rPr>
      </w:pPr>
      <w:r>
        <w:rPr>
          <w:rFonts w:hint="eastAsia" w:ascii="宋体" w:hAnsi="宋体" w:cs="宋体"/>
          <w:b/>
          <w:color w:val="auto"/>
          <w:highlight w:val="none"/>
        </w:rPr>
        <w:t>3.1.5.6加密电子投标文件在电子辅助开评标系统解密后即为投标文件的开启；电子投标文件采用一次性开启的办法，不再采用商务标和技术标分阶段开启的办法。</w:t>
      </w:r>
    </w:p>
    <w:p>
      <w:pPr>
        <w:spacing w:line="360" w:lineRule="exact"/>
        <w:rPr>
          <w:rFonts w:ascii="宋体" w:hAnsi="宋体" w:cs="宋体"/>
          <w:b/>
          <w:color w:val="auto"/>
          <w:highlight w:val="none"/>
        </w:rPr>
      </w:pPr>
      <w:r>
        <w:rPr>
          <w:rFonts w:hint="eastAsia" w:ascii="宋体" w:hAnsi="宋体" w:cs="宋体"/>
          <w:b/>
          <w:color w:val="auto"/>
          <w:highlight w:val="none"/>
        </w:rPr>
        <w:t>3.1.5.7电子投标项目开标的其他相关程序按照我市相关规定《绍兴市区工程建设项目电子招标投标管理暂行办法》执行。</w:t>
      </w:r>
    </w:p>
    <w:p>
      <w:pPr>
        <w:spacing w:line="360" w:lineRule="exact"/>
        <w:outlineLvl w:val="0"/>
        <w:rPr>
          <w:rFonts w:ascii="宋体" w:hAnsi="宋体" w:cs="宋体"/>
          <w:color w:val="auto"/>
          <w:highlight w:val="none"/>
        </w:rPr>
      </w:pPr>
      <w:r>
        <w:rPr>
          <w:rFonts w:hint="eastAsia" w:ascii="宋体" w:hAnsi="宋体" w:cs="宋体"/>
          <w:color w:val="auto"/>
          <w:highlight w:val="none"/>
        </w:rPr>
        <w:t>3.2 中标人在开标后 3 天内提供纸质投标文件 5 份，正本 1 份，副本 4 份。本项目（采用电子投标方式</w:t>
      </w:r>
      <w:r>
        <w:rPr>
          <w:rFonts w:hint="eastAsia" w:ascii="宋体" w:hAnsi="宋体" w:cs="宋体"/>
          <w:strike/>
          <w:color w:val="auto"/>
          <w:highlight w:val="none"/>
        </w:rPr>
        <w:t>／纸质投标方式</w:t>
      </w:r>
      <w:r>
        <w:rPr>
          <w:rFonts w:hint="eastAsia" w:ascii="宋体" w:hAnsi="宋体" w:cs="宋体"/>
          <w:color w:val="auto"/>
          <w:highlight w:val="none"/>
        </w:rPr>
        <w:t xml:space="preserve">）。 </w:t>
      </w:r>
    </w:p>
    <w:p>
      <w:pPr>
        <w:spacing w:line="360" w:lineRule="exact"/>
        <w:outlineLvl w:val="0"/>
        <w:rPr>
          <w:rFonts w:ascii="宋体" w:hAnsi="宋体"/>
          <w:color w:val="auto"/>
          <w:highlight w:val="none"/>
        </w:rPr>
      </w:pPr>
      <w:r>
        <w:rPr>
          <w:rFonts w:ascii="宋体" w:hAnsi="宋体"/>
          <w:color w:val="auto"/>
          <w:highlight w:val="none"/>
        </w:rPr>
        <w:t xml:space="preserve">3.3 </w:t>
      </w:r>
      <w:r>
        <w:rPr>
          <w:rFonts w:hint="eastAsia" w:ascii="宋体" w:hAnsi="宋体" w:cs="宋体"/>
          <w:color w:val="auto"/>
          <w:highlight w:val="none"/>
        </w:rPr>
        <w:t>投标有效期</w:t>
      </w:r>
    </w:p>
    <w:p>
      <w:pPr>
        <w:spacing w:line="360" w:lineRule="exact"/>
        <w:rPr>
          <w:rFonts w:ascii="宋体" w:hAnsi="宋体"/>
          <w:color w:val="auto"/>
          <w:highlight w:val="none"/>
        </w:rPr>
      </w:pPr>
      <w:r>
        <w:rPr>
          <w:rFonts w:ascii="宋体" w:hAnsi="宋体"/>
          <w:color w:val="auto"/>
          <w:highlight w:val="none"/>
        </w:rPr>
        <w:t>3.3.1</w:t>
      </w:r>
      <w:r>
        <w:rPr>
          <w:rFonts w:hint="eastAsia" w:ascii="宋体" w:hAnsi="宋体" w:cs="宋体"/>
          <w:color w:val="auto"/>
          <w:highlight w:val="none"/>
        </w:rPr>
        <w:t>投标有效期</w:t>
      </w:r>
      <w:r>
        <w:rPr>
          <w:rFonts w:ascii="宋体" w:hAnsi="宋体"/>
          <w:color w:val="auto"/>
          <w:highlight w:val="none"/>
        </w:rPr>
        <w:t>:</w:t>
      </w:r>
      <w:r>
        <w:rPr>
          <w:rFonts w:hint="eastAsia" w:ascii="宋体" w:hAnsi="宋体" w:cs="宋体"/>
          <w:color w:val="auto"/>
          <w:highlight w:val="none"/>
        </w:rPr>
        <w:t>确定</w:t>
      </w:r>
      <w:r>
        <w:rPr>
          <w:rFonts w:hint="eastAsia" w:ascii="宋体" w:hAnsi="宋体"/>
          <w:color w:val="auto"/>
          <w:highlight w:val="none"/>
          <w:u w:val="single"/>
        </w:rPr>
        <w:t>90</w:t>
      </w:r>
      <w:r>
        <w:rPr>
          <w:rFonts w:hint="eastAsia" w:ascii="宋体" w:hAnsi="宋体" w:cs="宋体"/>
          <w:color w:val="auto"/>
          <w:highlight w:val="none"/>
        </w:rPr>
        <w:t>天（</w:t>
      </w:r>
      <w:r>
        <w:rPr>
          <w:rFonts w:ascii="宋体" w:hAnsi="宋体"/>
          <w:color w:val="auto"/>
          <w:highlight w:val="none"/>
        </w:rPr>
        <w:t>30/60/90</w:t>
      </w:r>
      <w:r>
        <w:rPr>
          <w:rFonts w:hint="eastAsia" w:ascii="宋体" w:hAnsi="宋体" w:cs="宋体"/>
          <w:color w:val="auto"/>
          <w:highlight w:val="none"/>
        </w:rPr>
        <w:t>）。</w:t>
      </w:r>
    </w:p>
    <w:p>
      <w:pPr>
        <w:spacing w:line="360" w:lineRule="exact"/>
        <w:rPr>
          <w:rFonts w:ascii="宋体" w:hAnsi="宋体"/>
          <w:color w:val="auto"/>
          <w:highlight w:val="none"/>
        </w:rPr>
      </w:pPr>
      <w:r>
        <w:rPr>
          <w:rFonts w:ascii="宋体" w:hAnsi="宋体"/>
          <w:color w:val="auto"/>
          <w:highlight w:val="none"/>
        </w:rPr>
        <w:t>3.3.2</w:t>
      </w:r>
      <w:r>
        <w:rPr>
          <w:rFonts w:hint="eastAsia" w:ascii="宋体" w:hAnsi="宋体" w:cs="宋体"/>
          <w:color w:val="auto"/>
          <w:highlight w:val="none"/>
        </w:rPr>
        <w:t>投标有效期内，投标人不得要求撤销或修改其投标文件。</w:t>
      </w:r>
    </w:p>
    <w:p>
      <w:pPr>
        <w:spacing w:line="360" w:lineRule="exact"/>
        <w:rPr>
          <w:rFonts w:ascii="宋体" w:hAnsi="宋体"/>
          <w:color w:val="auto"/>
          <w:highlight w:val="none"/>
        </w:rPr>
      </w:pPr>
      <w:r>
        <w:rPr>
          <w:rFonts w:ascii="宋体" w:hAnsi="宋体"/>
          <w:color w:val="auto"/>
          <w:highlight w:val="none"/>
        </w:rPr>
        <w:t>3.3.3</w:t>
      </w:r>
      <w:r>
        <w:rPr>
          <w:rFonts w:hint="eastAsia" w:ascii="宋体" w:hAnsi="宋体" w:cs="宋体"/>
          <w:color w:val="auto"/>
          <w:highlight w:val="none"/>
        </w:rPr>
        <w:t>出现特殊情况需要延长投标有效期的，招标人以书面形式通知所有投标人延长投标有效期。投标人同意延长的，应相应延长其投标保证金的有效期，但不得要求或被允许修改或撤销其投标文件；投标人拒绝延长的，其投标失效，但投标人有权收回其投标保证金。</w:t>
      </w:r>
    </w:p>
    <w:p>
      <w:pPr>
        <w:spacing w:line="360" w:lineRule="exact"/>
        <w:outlineLvl w:val="0"/>
        <w:rPr>
          <w:rFonts w:ascii="宋体" w:hAnsi="宋体"/>
          <w:color w:val="auto"/>
          <w:highlight w:val="none"/>
        </w:rPr>
      </w:pPr>
      <w:r>
        <w:rPr>
          <w:rFonts w:ascii="宋体" w:hAnsi="宋体"/>
          <w:color w:val="auto"/>
          <w:highlight w:val="none"/>
        </w:rPr>
        <w:t xml:space="preserve">3.4 </w:t>
      </w:r>
      <w:r>
        <w:rPr>
          <w:rFonts w:hint="eastAsia" w:ascii="宋体" w:hAnsi="宋体" w:cs="宋体"/>
          <w:color w:val="auto"/>
          <w:highlight w:val="none"/>
        </w:rPr>
        <w:t>投标保证金</w:t>
      </w:r>
    </w:p>
    <w:p>
      <w:pPr>
        <w:spacing w:line="360" w:lineRule="exact"/>
        <w:rPr>
          <w:rFonts w:ascii="宋体" w:hAnsi="宋体"/>
          <w:color w:val="auto"/>
          <w:highlight w:val="none"/>
        </w:rPr>
      </w:pPr>
      <w:r>
        <w:rPr>
          <w:rFonts w:ascii="宋体" w:hAnsi="宋体"/>
          <w:color w:val="auto"/>
          <w:highlight w:val="none"/>
        </w:rPr>
        <w:t>3.4.1</w:t>
      </w:r>
      <w:r>
        <w:rPr>
          <w:rFonts w:hint="eastAsia" w:ascii="宋体" w:hAnsi="宋体" w:cs="宋体"/>
          <w:color w:val="auto"/>
          <w:highlight w:val="none"/>
        </w:rPr>
        <w:t>投标保证金的缴纳</w:t>
      </w:r>
    </w:p>
    <w:p>
      <w:pPr>
        <w:spacing w:line="360" w:lineRule="exact"/>
        <w:rPr>
          <w:rFonts w:ascii="宋体" w:hAnsi="宋体"/>
          <w:color w:val="auto"/>
          <w:highlight w:val="none"/>
        </w:rPr>
      </w:pPr>
      <w:r>
        <w:rPr>
          <w:rFonts w:hint="eastAsia" w:ascii="宋体" w:hAnsi="宋体" w:cs="宋体"/>
          <w:color w:val="auto"/>
          <w:highlight w:val="none"/>
        </w:rPr>
        <w:t>形式：见招标公告</w:t>
      </w:r>
    </w:p>
    <w:p>
      <w:pPr>
        <w:spacing w:line="360" w:lineRule="exact"/>
        <w:rPr>
          <w:rFonts w:ascii="宋体" w:hAnsi="宋体"/>
          <w:color w:val="auto"/>
          <w:highlight w:val="none"/>
        </w:rPr>
      </w:pPr>
      <w:r>
        <w:rPr>
          <w:rFonts w:hint="eastAsia" w:ascii="宋体" w:hAnsi="宋体" w:cs="宋体"/>
          <w:color w:val="auto"/>
          <w:highlight w:val="none"/>
        </w:rPr>
        <w:t>金额：见招标公告</w:t>
      </w:r>
    </w:p>
    <w:p>
      <w:pPr>
        <w:spacing w:line="360" w:lineRule="exact"/>
        <w:rPr>
          <w:rFonts w:ascii="宋体" w:hAnsi="宋体"/>
          <w:color w:val="auto"/>
          <w:highlight w:val="none"/>
        </w:rPr>
      </w:pPr>
      <w:r>
        <w:rPr>
          <w:rFonts w:hint="eastAsia" w:ascii="宋体" w:hAnsi="宋体" w:cs="宋体"/>
          <w:color w:val="auto"/>
          <w:highlight w:val="none"/>
        </w:rPr>
        <w:t>递交方式：见招标公告</w:t>
      </w:r>
    </w:p>
    <w:p>
      <w:pPr>
        <w:spacing w:line="360" w:lineRule="exact"/>
        <w:rPr>
          <w:rFonts w:ascii="宋体" w:hAnsi="宋体"/>
          <w:strike/>
          <w:color w:val="auto"/>
          <w:highlight w:val="none"/>
        </w:rPr>
      </w:pPr>
      <w:r>
        <w:rPr>
          <w:rFonts w:hint="eastAsia" w:ascii="宋体" w:hAnsi="宋体" w:cs="宋体"/>
          <w:strike/>
          <w:color w:val="auto"/>
          <w:highlight w:val="none"/>
        </w:rPr>
        <w:t>联合体投标的，其投标保证金由牵头人递交。</w:t>
      </w:r>
    </w:p>
    <w:p>
      <w:pPr>
        <w:spacing w:line="360" w:lineRule="exact"/>
        <w:rPr>
          <w:rFonts w:ascii="宋体" w:hAnsi="宋体"/>
          <w:color w:val="auto"/>
          <w:highlight w:val="none"/>
        </w:rPr>
      </w:pPr>
      <w:r>
        <w:rPr>
          <w:rFonts w:ascii="宋体" w:hAnsi="宋体"/>
          <w:color w:val="auto"/>
          <w:highlight w:val="none"/>
        </w:rPr>
        <w:t>3.4.2</w:t>
      </w:r>
      <w:r>
        <w:rPr>
          <w:rFonts w:hint="eastAsia" w:ascii="宋体" w:hAnsi="宋体" w:cs="宋体"/>
          <w:color w:val="auto"/>
          <w:highlight w:val="none"/>
        </w:rPr>
        <w:t>投标保证金的退还</w:t>
      </w:r>
    </w:p>
    <w:p>
      <w:pPr>
        <w:spacing w:line="360" w:lineRule="exact"/>
        <w:rPr>
          <w:rFonts w:ascii="宋体" w:hAnsi="宋体"/>
          <w:color w:val="auto"/>
          <w:highlight w:val="none"/>
        </w:rPr>
      </w:pPr>
      <w:r>
        <w:rPr>
          <w:rFonts w:hint="eastAsia" w:ascii="宋体" w:hAnsi="宋体" w:cs="宋体"/>
          <w:color w:val="auto"/>
          <w:highlight w:val="none"/>
        </w:rPr>
        <w:t>未中标人的投标保证金在中标公示结束（无异议）后</w:t>
      </w:r>
      <w:r>
        <w:rPr>
          <w:rFonts w:ascii="宋体" w:hAnsi="宋体"/>
          <w:color w:val="auto"/>
          <w:highlight w:val="none"/>
        </w:rPr>
        <w:t>5</w:t>
      </w:r>
      <w:r>
        <w:rPr>
          <w:rFonts w:hint="eastAsia" w:ascii="宋体" w:hAnsi="宋体" w:cs="宋体"/>
          <w:color w:val="auto"/>
          <w:highlight w:val="none"/>
        </w:rPr>
        <w:t>个工作日内退还</w:t>
      </w:r>
      <w:r>
        <w:rPr>
          <w:rFonts w:ascii="宋体" w:hAnsi="宋体"/>
          <w:color w:val="auto"/>
          <w:highlight w:val="none"/>
        </w:rPr>
        <w:t>;</w:t>
      </w:r>
      <w:r>
        <w:rPr>
          <w:rFonts w:hint="eastAsia" w:ascii="宋体" w:hAnsi="宋体" w:cs="宋体"/>
          <w:color w:val="auto"/>
          <w:highlight w:val="none"/>
        </w:rPr>
        <w:t>中标人的投标保证金在合同签订后</w:t>
      </w:r>
      <w:r>
        <w:rPr>
          <w:rFonts w:ascii="宋体" w:hAnsi="宋体"/>
          <w:color w:val="auto"/>
          <w:highlight w:val="none"/>
        </w:rPr>
        <w:t>5</w:t>
      </w:r>
      <w:r>
        <w:rPr>
          <w:rFonts w:hint="eastAsia" w:ascii="宋体" w:hAnsi="宋体" w:cs="宋体"/>
          <w:color w:val="auto"/>
          <w:highlight w:val="none"/>
        </w:rPr>
        <w:t>个工作日内退还。</w:t>
      </w:r>
    </w:p>
    <w:p>
      <w:pPr>
        <w:spacing w:line="360" w:lineRule="exact"/>
        <w:rPr>
          <w:rFonts w:ascii="宋体" w:hAnsi="宋体"/>
          <w:color w:val="auto"/>
          <w:highlight w:val="none"/>
        </w:rPr>
      </w:pPr>
      <w:r>
        <w:rPr>
          <w:rFonts w:ascii="宋体" w:hAnsi="宋体"/>
          <w:color w:val="auto"/>
          <w:highlight w:val="none"/>
        </w:rPr>
        <w:t xml:space="preserve">3.4.3 </w:t>
      </w:r>
      <w:r>
        <w:rPr>
          <w:rFonts w:hint="eastAsia" w:ascii="宋体" w:hAnsi="宋体" w:cs="宋体"/>
          <w:color w:val="auto"/>
          <w:highlight w:val="none"/>
        </w:rPr>
        <w:t>有下列情形之一的，投标保证金将不予退还的：</w:t>
      </w:r>
    </w:p>
    <w:p>
      <w:pPr>
        <w:spacing w:line="360" w:lineRule="exact"/>
        <w:rPr>
          <w:rFonts w:ascii="宋体" w:hAnsi="宋体"/>
          <w:color w:val="auto"/>
          <w:highlight w:val="none"/>
        </w:rPr>
      </w:pPr>
      <w:r>
        <w:rPr>
          <w:rFonts w:hint="eastAsia" w:ascii="宋体" w:hAnsi="宋体" w:cs="宋体"/>
          <w:color w:val="auto"/>
          <w:highlight w:val="none"/>
        </w:rPr>
        <w:t>（</w:t>
      </w:r>
      <w:r>
        <w:rPr>
          <w:rFonts w:ascii="宋体" w:hAnsi="宋体"/>
          <w:color w:val="auto"/>
          <w:highlight w:val="none"/>
        </w:rPr>
        <w:t>1</w:t>
      </w:r>
      <w:r>
        <w:rPr>
          <w:rFonts w:hint="eastAsia" w:ascii="宋体" w:hAnsi="宋体" w:cs="宋体"/>
          <w:color w:val="auto"/>
          <w:highlight w:val="none"/>
        </w:rPr>
        <w:t>）投标人在规定的投标有效期内撤销或修改其投标文件；</w:t>
      </w:r>
    </w:p>
    <w:p>
      <w:pPr>
        <w:spacing w:line="360" w:lineRule="exact"/>
        <w:rPr>
          <w:rFonts w:ascii="宋体" w:hAnsi="宋体"/>
          <w:color w:val="auto"/>
          <w:highlight w:val="none"/>
        </w:rPr>
      </w:pPr>
      <w:r>
        <w:rPr>
          <w:rFonts w:hint="eastAsia" w:ascii="宋体" w:hAnsi="宋体" w:cs="宋体"/>
          <w:color w:val="auto"/>
          <w:highlight w:val="none"/>
        </w:rPr>
        <w:t>（</w:t>
      </w:r>
      <w:r>
        <w:rPr>
          <w:rFonts w:ascii="宋体" w:hAnsi="宋体"/>
          <w:color w:val="auto"/>
          <w:highlight w:val="none"/>
        </w:rPr>
        <w:t>2</w:t>
      </w:r>
      <w:r>
        <w:rPr>
          <w:rFonts w:hint="eastAsia" w:ascii="宋体" w:hAnsi="宋体" w:cs="宋体"/>
          <w:color w:val="auto"/>
          <w:highlight w:val="none"/>
        </w:rPr>
        <w:t>）投标人在投标过程中有违反招标投标有关法律法规行为的；</w:t>
      </w:r>
    </w:p>
    <w:p>
      <w:pPr>
        <w:spacing w:line="360" w:lineRule="exact"/>
        <w:rPr>
          <w:rFonts w:ascii="宋体" w:hAnsi="宋体"/>
          <w:color w:val="auto"/>
          <w:highlight w:val="none"/>
        </w:rPr>
      </w:pPr>
      <w:r>
        <w:rPr>
          <w:rFonts w:hint="eastAsia" w:ascii="宋体" w:hAnsi="宋体" w:cs="宋体"/>
          <w:color w:val="auto"/>
          <w:highlight w:val="none"/>
        </w:rPr>
        <w:t>（</w:t>
      </w:r>
      <w:r>
        <w:rPr>
          <w:rFonts w:ascii="宋体" w:hAnsi="宋体"/>
          <w:color w:val="auto"/>
          <w:highlight w:val="none"/>
        </w:rPr>
        <w:t>3</w:t>
      </w:r>
      <w:r>
        <w:rPr>
          <w:rFonts w:hint="eastAsia" w:ascii="宋体" w:hAnsi="宋体" w:cs="宋体"/>
          <w:color w:val="auto"/>
          <w:highlight w:val="none"/>
        </w:rPr>
        <w:t>）中标人在收到中标通知书后，无正当理由拒签合同协议书。</w:t>
      </w:r>
    </w:p>
    <w:p>
      <w:pPr>
        <w:spacing w:line="360" w:lineRule="exact"/>
        <w:outlineLvl w:val="0"/>
        <w:rPr>
          <w:rFonts w:ascii="宋体" w:hAnsi="宋体"/>
          <w:color w:val="auto"/>
          <w:highlight w:val="none"/>
        </w:rPr>
      </w:pPr>
      <w:r>
        <w:rPr>
          <w:rFonts w:ascii="宋体" w:hAnsi="宋体"/>
          <w:color w:val="auto"/>
          <w:highlight w:val="none"/>
        </w:rPr>
        <w:t xml:space="preserve">3.5 </w:t>
      </w:r>
      <w:r>
        <w:rPr>
          <w:rFonts w:hint="eastAsia" w:ascii="宋体" w:hAnsi="宋体" w:cs="宋体"/>
          <w:color w:val="auto"/>
          <w:highlight w:val="none"/>
        </w:rPr>
        <w:t>资格审查资料</w:t>
      </w:r>
    </w:p>
    <w:p>
      <w:pPr>
        <w:spacing w:line="360" w:lineRule="exact"/>
        <w:rPr>
          <w:rFonts w:ascii="宋体" w:hAnsi="宋体"/>
          <w:color w:val="auto"/>
          <w:highlight w:val="none"/>
        </w:rPr>
      </w:pPr>
      <w:r>
        <w:rPr>
          <w:rFonts w:ascii="宋体" w:hAnsi="宋体"/>
          <w:color w:val="auto"/>
          <w:highlight w:val="none"/>
        </w:rPr>
        <w:t>3.5.1</w:t>
      </w:r>
      <w:r>
        <w:rPr>
          <w:rFonts w:hint="eastAsia" w:ascii="宋体" w:hAnsi="宋体" w:cs="宋体"/>
          <w:color w:val="auto"/>
          <w:highlight w:val="none"/>
        </w:rPr>
        <w:t>资格审查资料包括：</w:t>
      </w:r>
    </w:p>
    <w:p>
      <w:pPr>
        <w:spacing w:line="360" w:lineRule="exact"/>
        <w:rPr>
          <w:rFonts w:ascii="宋体" w:hAnsi="宋体"/>
          <w:color w:val="auto"/>
          <w:highlight w:val="none"/>
        </w:rPr>
      </w:pPr>
      <w:r>
        <w:rPr>
          <w:rFonts w:hint="eastAsia" w:ascii="宋体" w:hAnsi="宋体" w:cs="宋体"/>
          <w:color w:val="auto"/>
          <w:highlight w:val="none"/>
        </w:rPr>
        <w:t>（</w:t>
      </w:r>
      <w:r>
        <w:rPr>
          <w:rFonts w:ascii="宋体" w:hAnsi="宋体"/>
          <w:color w:val="auto"/>
          <w:highlight w:val="none"/>
        </w:rPr>
        <w:t>1</w:t>
      </w:r>
      <w:r>
        <w:rPr>
          <w:rFonts w:hint="eastAsia" w:ascii="宋体" w:hAnsi="宋体" w:cs="宋体"/>
          <w:color w:val="auto"/>
          <w:highlight w:val="none"/>
        </w:rPr>
        <w:t>）企业法人营业执照（正本或副本）</w:t>
      </w:r>
    </w:p>
    <w:p>
      <w:pPr>
        <w:spacing w:line="360" w:lineRule="exact"/>
        <w:rPr>
          <w:rFonts w:ascii="宋体" w:hAnsi="宋体"/>
          <w:color w:val="auto"/>
          <w:highlight w:val="none"/>
          <w:u w:val="single"/>
        </w:rPr>
      </w:pPr>
      <w:r>
        <w:rPr>
          <w:rFonts w:hint="eastAsia" w:ascii="宋体" w:hAnsi="宋体" w:cs="宋体"/>
          <w:color w:val="auto"/>
          <w:highlight w:val="none"/>
        </w:rPr>
        <w:t>（</w:t>
      </w:r>
      <w:r>
        <w:rPr>
          <w:rFonts w:hint="eastAsia" w:ascii="宋体" w:hAnsi="宋体"/>
          <w:color w:val="auto"/>
          <w:highlight w:val="none"/>
        </w:rPr>
        <w:t>2</w:t>
      </w:r>
      <w:r>
        <w:rPr>
          <w:rFonts w:hint="eastAsia" w:ascii="宋体" w:hAnsi="宋体" w:cs="宋体"/>
          <w:color w:val="auto"/>
          <w:highlight w:val="none"/>
        </w:rPr>
        <w:t>）项目负责人资格证明资料（包括但不限于）：</w:t>
      </w:r>
      <w:r>
        <w:rPr>
          <w:rFonts w:hint="eastAsia" w:ascii="宋体" w:hAnsi="宋体" w:cs="宋体"/>
          <w:b w:val="0"/>
          <w:bCs w:val="0"/>
          <w:color w:val="auto"/>
          <w:highlight w:val="none"/>
          <w:u w:val="single"/>
          <w:lang w:val="en-US" w:eastAsia="zh-CN"/>
        </w:rPr>
        <w:t>一级</w:t>
      </w:r>
      <w:r>
        <w:rPr>
          <w:rFonts w:hint="eastAsia" w:ascii="宋体" w:hAnsi="宋体"/>
          <w:color w:val="auto"/>
          <w:highlight w:val="none"/>
          <w:u w:val="single"/>
        </w:rPr>
        <w:t>注册造价工程师注册证书和</w:t>
      </w:r>
      <w:r>
        <w:rPr>
          <w:rFonts w:hint="eastAsia" w:ascii="宋体" w:hAnsi="宋体" w:cs="宋体"/>
          <w:color w:val="auto"/>
          <w:highlight w:val="none"/>
          <w:u w:val="single"/>
        </w:rPr>
        <w:t>提供缴费期限包含</w:t>
      </w:r>
      <w:r>
        <w:rPr>
          <w:rFonts w:hint="eastAsia" w:ascii="宋体" w:hAnsi="宋体" w:cs="宋体"/>
          <w:color w:val="auto"/>
          <w:highlight w:val="none"/>
          <w:u w:val="single"/>
          <w:lang w:eastAsia="zh-CN"/>
        </w:rPr>
        <w:t>2022年</w:t>
      </w:r>
      <w:r>
        <w:rPr>
          <w:rFonts w:hint="eastAsia" w:ascii="宋体" w:hAnsi="宋体" w:cs="宋体"/>
          <w:color w:val="auto"/>
          <w:highlight w:val="none"/>
          <w:u w:val="single"/>
          <w:lang w:val="en-US" w:eastAsia="zh-CN"/>
        </w:rPr>
        <w:t>4</w:t>
      </w:r>
      <w:r>
        <w:rPr>
          <w:rFonts w:hint="eastAsia" w:ascii="宋体" w:hAnsi="宋体" w:cs="宋体"/>
          <w:color w:val="auto"/>
          <w:highlight w:val="none"/>
          <w:u w:val="single"/>
          <w:lang w:eastAsia="zh-CN"/>
        </w:rPr>
        <w:t>月至2022年</w:t>
      </w:r>
      <w:r>
        <w:rPr>
          <w:rFonts w:hint="eastAsia" w:ascii="宋体" w:hAnsi="宋体" w:cs="宋体"/>
          <w:color w:val="auto"/>
          <w:highlight w:val="none"/>
          <w:u w:val="single"/>
          <w:lang w:val="en-US" w:eastAsia="zh-CN"/>
        </w:rPr>
        <w:t>6</w:t>
      </w:r>
      <w:r>
        <w:rPr>
          <w:rFonts w:hint="eastAsia" w:ascii="宋体" w:hAnsi="宋体" w:cs="宋体"/>
          <w:color w:val="auto"/>
          <w:highlight w:val="none"/>
          <w:u w:val="single"/>
          <w:lang w:eastAsia="zh-CN"/>
        </w:rPr>
        <w:t>月</w:t>
      </w:r>
      <w:r>
        <w:rPr>
          <w:rFonts w:hint="eastAsia" w:ascii="宋体" w:hAnsi="宋体" w:cs="宋体"/>
          <w:color w:val="auto"/>
          <w:highlight w:val="none"/>
          <w:u w:val="single"/>
        </w:rPr>
        <w:t>的投标人所属社保机构养老保险交纳清单或证明为准【缴费单位和投标人名称必须一致，并加盖社保缴费证明专用章（非独立法人的分公司社保证明有效）】，以投标人所属社保机构出具的盖有社保部门专用章（或电子专用章）的社保证明件为准；若项目负责人为事业编制的，须提供缴费期限包含</w:t>
      </w:r>
      <w:r>
        <w:rPr>
          <w:rFonts w:hint="eastAsia" w:ascii="宋体" w:hAnsi="宋体" w:cs="宋体"/>
          <w:color w:val="auto"/>
          <w:highlight w:val="none"/>
          <w:u w:val="single"/>
          <w:lang w:eastAsia="zh-CN"/>
        </w:rPr>
        <w:t>2022年</w:t>
      </w:r>
      <w:r>
        <w:rPr>
          <w:rFonts w:hint="eastAsia" w:ascii="宋体" w:hAnsi="宋体" w:cs="宋体"/>
          <w:color w:val="auto"/>
          <w:highlight w:val="none"/>
          <w:u w:val="single"/>
          <w:lang w:val="en-US" w:eastAsia="zh-CN"/>
        </w:rPr>
        <w:t>4</w:t>
      </w:r>
      <w:r>
        <w:rPr>
          <w:rFonts w:hint="eastAsia" w:ascii="宋体" w:hAnsi="宋体" w:cs="宋体"/>
          <w:color w:val="auto"/>
          <w:highlight w:val="none"/>
          <w:u w:val="single"/>
          <w:lang w:eastAsia="zh-CN"/>
        </w:rPr>
        <w:t>月至2022年</w:t>
      </w:r>
      <w:r>
        <w:rPr>
          <w:rFonts w:hint="eastAsia" w:ascii="宋体" w:hAnsi="宋体" w:cs="宋体"/>
          <w:color w:val="auto"/>
          <w:highlight w:val="none"/>
          <w:u w:val="single"/>
          <w:lang w:val="en-US" w:eastAsia="zh-CN"/>
        </w:rPr>
        <w:t>6</w:t>
      </w:r>
      <w:r>
        <w:rPr>
          <w:rFonts w:hint="eastAsia" w:ascii="宋体" w:hAnsi="宋体" w:cs="宋体"/>
          <w:color w:val="auto"/>
          <w:highlight w:val="none"/>
          <w:u w:val="single"/>
          <w:lang w:eastAsia="zh-CN"/>
        </w:rPr>
        <w:t>月</w:t>
      </w:r>
      <w:r>
        <w:rPr>
          <w:rFonts w:hint="eastAsia" w:ascii="宋体" w:hAnsi="宋体" w:cs="宋体"/>
          <w:color w:val="auto"/>
          <w:highlight w:val="none"/>
          <w:u w:val="single"/>
        </w:rPr>
        <w:t xml:space="preserve">由人事代理中心出具的社保证明（需加盖人事代理中心证明专用章） </w:t>
      </w:r>
      <w:r>
        <w:rPr>
          <w:rFonts w:hint="eastAsia" w:ascii="宋体" w:hAnsi="宋体" w:cs="宋体"/>
          <w:color w:val="auto"/>
          <w:highlight w:val="none"/>
        </w:rPr>
        <w:t>。</w:t>
      </w:r>
    </w:p>
    <w:p>
      <w:pPr>
        <w:spacing w:line="360" w:lineRule="auto"/>
        <w:rPr>
          <w:rFonts w:cs="宋体"/>
          <w:b/>
          <w:bCs/>
          <w:color w:val="auto"/>
          <w:highlight w:val="none"/>
          <w:u w:val="single"/>
        </w:rPr>
      </w:pPr>
      <w:r>
        <w:rPr>
          <w:rFonts w:hint="eastAsia" w:ascii="宋体" w:hAnsi="宋体" w:cs="宋体"/>
          <w:color w:val="auto"/>
          <w:highlight w:val="none"/>
        </w:rPr>
        <w:t>（</w:t>
      </w:r>
      <w:r>
        <w:rPr>
          <w:rFonts w:hint="eastAsia" w:ascii="宋体" w:hAnsi="宋体"/>
          <w:color w:val="auto"/>
          <w:highlight w:val="none"/>
        </w:rPr>
        <w:t>3</w:t>
      </w:r>
      <w:r>
        <w:rPr>
          <w:rFonts w:hint="eastAsia" w:ascii="宋体" w:hAnsi="宋体" w:cs="宋体"/>
          <w:color w:val="auto"/>
          <w:highlight w:val="none"/>
        </w:rPr>
        <w:t>）其他资料（同时注明资料提交要求）：</w:t>
      </w:r>
      <w:r>
        <w:rPr>
          <w:rFonts w:hint="eastAsia" w:ascii="宋体" w:hAnsi="宋体" w:cs="宋体"/>
          <w:b/>
          <w:color w:val="auto"/>
          <w:highlight w:val="none"/>
          <w:u w:val="single"/>
        </w:rPr>
        <w:t>业绩</w:t>
      </w:r>
      <w:r>
        <w:rPr>
          <w:rFonts w:hint="eastAsia" w:cs="宋体"/>
          <w:b/>
          <w:bCs/>
          <w:color w:val="auto"/>
          <w:highlight w:val="none"/>
          <w:u w:val="single"/>
        </w:rPr>
        <w:t>证明材料：须同时提供招标代理合同、造价咨询合同、施工中标通知书；施工中标价以施工中标通知书中的金额为准，上述证明材料无法体现业绩要求内容的，还须提供业主证明（加盖业主公章）。。</w:t>
      </w:r>
    </w:p>
    <w:p>
      <w:pPr>
        <w:spacing w:line="360" w:lineRule="exact"/>
        <w:rPr>
          <w:rFonts w:ascii="宋体" w:hAnsi="宋体"/>
          <w:color w:val="auto"/>
          <w:highlight w:val="none"/>
          <w:u w:val="single"/>
        </w:rPr>
      </w:pPr>
      <w:r>
        <w:rPr>
          <w:rFonts w:hint="eastAsia" w:ascii="宋体" w:hAnsi="宋体" w:cs="宋体"/>
          <w:color w:val="auto"/>
          <w:highlight w:val="none"/>
        </w:rPr>
        <w:t>（4）企业在近二年内</w:t>
      </w:r>
      <w:r>
        <w:rPr>
          <w:rFonts w:hint="eastAsia" w:ascii="宋体" w:hAnsi="宋体" w:cs="宋体"/>
          <w:color w:val="auto"/>
          <w:highlight w:val="none"/>
          <w:u w:val="single"/>
        </w:rPr>
        <w:t>（20</w:t>
      </w:r>
      <w:r>
        <w:rPr>
          <w:rFonts w:hint="eastAsia" w:ascii="宋体" w:hAnsi="宋体" w:cs="宋体"/>
          <w:color w:val="auto"/>
          <w:highlight w:val="none"/>
          <w:u w:val="single"/>
          <w:lang w:val="en-US" w:eastAsia="zh-CN"/>
        </w:rPr>
        <w:t>20</w:t>
      </w:r>
      <w:r>
        <w:rPr>
          <w:rFonts w:hint="eastAsia" w:ascii="宋体" w:hAnsi="宋体" w:cs="宋体"/>
          <w:color w:val="auto"/>
          <w:highlight w:val="none"/>
          <w:u w:val="single"/>
        </w:rPr>
        <w:t>年</w:t>
      </w:r>
      <w:r>
        <w:rPr>
          <w:rFonts w:hint="eastAsia" w:ascii="宋体" w:hAnsi="宋体" w:cs="宋体"/>
          <w:color w:val="auto"/>
          <w:highlight w:val="none"/>
          <w:u w:val="single"/>
          <w:lang w:val="en-US" w:eastAsia="zh-CN"/>
        </w:rPr>
        <w:t>7</w:t>
      </w:r>
      <w:r>
        <w:rPr>
          <w:rFonts w:hint="eastAsia" w:ascii="宋体" w:hAnsi="宋体" w:cs="宋体"/>
          <w:color w:val="auto"/>
          <w:highlight w:val="none"/>
          <w:u w:val="single"/>
        </w:rPr>
        <w:t>月至</w:t>
      </w:r>
      <w:r>
        <w:rPr>
          <w:rFonts w:hint="eastAsia" w:ascii="宋体" w:hAnsi="宋体" w:cs="宋体"/>
          <w:color w:val="auto"/>
          <w:highlight w:val="none"/>
          <w:u w:val="single"/>
          <w:lang w:val="en-US" w:eastAsia="zh-CN"/>
        </w:rPr>
        <w:t>2022</w:t>
      </w:r>
      <w:r>
        <w:rPr>
          <w:rFonts w:hint="eastAsia" w:ascii="宋体" w:hAnsi="宋体" w:cs="宋体"/>
          <w:color w:val="auto"/>
          <w:highlight w:val="none"/>
          <w:u w:val="single"/>
        </w:rPr>
        <w:t>年</w:t>
      </w:r>
      <w:r>
        <w:rPr>
          <w:rFonts w:hint="eastAsia" w:ascii="宋体" w:hAnsi="宋体" w:cs="宋体"/>
          <w:color w:val="auto"/>
          <w:highlight w:val="none"/>
          <w:u w:val="single"/>
          <w:lang w:val="en-US" w:eastAsia="zh-CN"/>
        </w:rPr>
        <w:t>7</w:t>
      </w:r>
      <w:r>
        <w:rPr>
          <w:rFonts w:hint="eastAsia" w:ascii="宋体" w:hAnsi="宋体" w:cs="宋体"/>
          <w:color w:val="auto"/>
          <w:highlight w:val="none"/>
          <w:u w:val="single"/>
        </w:rPr>
        <w:t>月）</w:t>
      </w:r>
      <w:r>
        <w:rPr>
          <w:rFonts w:hint="eastAsia" w:ascii="宋体" w:hAnsi="宋体" w:cs="宋体"/>
          <w:color w:val="auto"/>
          <w:highlight w:val="none"/>
        </w:rPr>
        <w:t>无不良行为记录的承诺书。</w:t>
      </w:r>
    </w:p>
    <w:p>
      <w:pPr>
        <w:spacing w:line="360" w:lineRule="exact"/>
        <w:rPr>
          <w:rFonts w:ascii="宋体" w:hAnsi="宋体"/>
          <w:color w:val="auto"/>
          <w:highlight w:val="none"/>
        </w:rPr>
      </w:pPr>
      <w:r>
        <w:rPr>
          <w:rFonts w:ascii="宋体" w:hAnsi="宋体"/>
          <w:color w:val="auto"/>
          <w:highlight w:val="none"/>
        </w:rPr>
        <w:t>3.5.2</w:t>
      </w:r>
      <w:r>
        <w:rPr>
          <w:rFonts w:hint="eastAsia" w:ascii="宋体" w:hAnsi="宋体" w:cs="宋体"/>
          <w:color w:val="auto"/>
          <w:highlight w:val="none"/>
        </w:rPr>
        <w:t>采用电子投标的，资格审查资料中各类证件以及应由投标人之外的其他单位出具或加盖其他单位公章的各类证明文件均要求提交原件的电子扫描件；投标人自拟材料可直接提交电子文档。各类资格审查资料均应加盖投标人单位电子公章。</w:t>
      </w:r>
    </w:p>
    <w:p>
      <w:pPr>
        <w:spacing w:line="360" w:lineRule="exact"/>
        <w:rPr>
          <w:rFonts w:ascii="宋体" w:hAnsi="宋体"/>
          <w:dstrike/>
          <w:color w:val="auto"/>
          <w:highlight w:val="none"/>
        </w:rPr>
      </w:pPr>
      <w:r>
        <w:rPr>
          <w:rFonts w:ascii="宋体" w:hAnsi="宋体"/>
          <w:dstrike/>
          <w:color w:val="auto"/>
          <w:highlight w:val="none"/>
        </w:rPr>
        <w:t>3.5.3</w:t>
      </w:r>
      <w:r>
        <w:rPr>
          <w:rFonts w:hint="eastAsia" w:ascii="宋体" w:hAnsi="宋体" w:cs="宋体"/>
          <w:dstrike/>
          <w:color w:val="auto"/>
          <w:highlight w:val="none"/>
        </w:rPr>
        <w:t>不采用电子投标的，资格审查资料中各类证件以及应由投标人之外的其他单位出具或加盖其他单位公章的各类证明文件均要求提交原件或者原件的复印件。各类资格审查资料均应加盖投标人单位公章。</w:t>
      </w:r>
    </w:p>
    <w:p>
      <w:pPr>
        <w:spacing w:line="360" w:lineRule="exact"/>
        <w:rPr>
          <w:rFonts w:ascii="宋体" w:hAnsi="宋体" w:cs="宋体"/>
          <w:dstrike/>
          <w:color w:val="auto"/>
          <w:highlight w:val="none"/>
        </w:rPr>
      </w:pPr>
      <w:r>
        <w:rPr>
          <w:rFonts w:hint="eastAsia" w:ascii="宋体" w:hAnsi="宋体" w:cs="宋体"/>
          <w:dstrike/>
          <w:color w:val="auto"/>
          <w:highlight w:val="none"/>
        </w:rPr>
        <w:t>3.6技术标响应资料</w:t>
      </w:r>
    </w:p>
    <w:p>
      <w:pPr>
        <w:spacing w:line="360" w:lineRule="exact"/>
        <w:rPr>
          <w:rFonts w:ascii="宋体" w:hAnsi="宋体" w:cs="宋体"/>
          <w:dstrike/>
          <w:color w:val="auto"/>
          <w:highlight w:val="none"/>
        </w:rPr>
      </w:pPr>
      <w:r>
        <w:rPr>
          <w:rFonts w:hint="eastAsia" w:ascii="宋体" w:hAnsi="宋体" w:cs="宋体"/>
          <w:dstrike/>
          <w:color w:val="auto"/>
          <w:highlight w:val="none"/>
        </w:rPr>
        <w:t>3.6.1技术标响应资料包括根据招标文件技术标评分标准中要求递交的各类证明资料、服务承诺和信用情况说明等资料。</w:t>
      </w:r>
    </w:p>
    <w:p>
      <w:pPr>
        <w:spacing w:line="360" w:lineRule="exact"/>
        <w:rPr>
          <w:rFonts w:ascii="宋体" w:hAnsi="宋体" w:cs="宋体"/>
          <w:dstrike/>
          <w:color w:val="auto"/>
          <w:highlight w:val="none"/>
        </w:rPr>
      </w:pPr>
      <w:r>
        <w:rPr>
          <w:rFonts w:hint="eastAsia" w:ascii="宋体" w:hAnsi="宋体" w:cs="宋体"/>
          <w:dstrike/>
          <w:color w:val="auto"/>
          <w:highlight w:val="none"/>
        </w:rPr>
        <w:t>3.6.2各类技术标响应资料应按照本章3.5.2和3.5.3的同等要求提交并加盖投标人单位公章。</w:t>
      </w:r>
    </w:p>
    <w:p>
      <w:pPr>
        <w:spacing w:line="360" w:lineRule="exact"/>
        <w:rPr>
          <w:rFonts w:ascii="宋体" w:hAnsi="宋体" w:cs="宋体"/>
          <w:dstrike/>
          <w:color w:val="auto"/>
          <w:highlight w:val="none"/>
        </w:rPr>
      </w:pPr>
      <w:r>
        <w:rPr>
          <w:rFonts w:hint="eastAsia" w:ascii="宋体" w:hAnsi="宋体" w:cs="宋体"/>
          <w:dstrike/>
          <w:color w:val="auto"/>
          <w:highlight w:val="none"/>
        </w:rPr>
        <w:t>3.6.3投标人已在资格审查资料中提交的相关资料可作为技术标响应情况的证明材料，不需重复提交。</w:t>
      </w:r>
    </w:p>
    <w:p>
      <w:pPr>
        <w:spacing w:line="360" w:lineRule="exact"/>
        <w:outlineLvl w:val="0"/>
        <w:rPr>
          <w:rFonts w:ascii="宋体" w:hAnsi="宋体"/>
          <w:color w:val="auto"/>
          <w:highlight w:val="none"/>
        </w:rPr>
      </w:pPr>
      <w:r>
        <w:rPr>
          <w:rFonts w:ascii="宋体" w:hAnsi="宋体"/>
          <w:color w:val="auto"/>
          <w:highlight w:val="none"/>
        </w:rPr>
        <w:t xml:space="preserve">4. </w:t>
      </w:r>
      <w:r>
        <w:rPr>
          <w:rFonts w:hint="eastAsia" w:ascii="宋体" w:hAnsi="宋体" w:cs="宋体"/>
          <w:color w:val="auto"/>
          <w:highlight w:val="none"/>
        </w:rPr>
        <w:t>投标</w:t>
      </w:r>
    </w:p>
    <w:p>
      <w:pPr>
        <w:spacing w:line="360" w:lineRule="exact"/>
        <w:outlineLvl w:val="0"/>
        <w:rPr>
          <w:rFonts w:ascii="宋体" w:hAnsi="宋体"/>
          <w:color w:val="auto"/>
          <w:highlight w:val="none"/>
        </w:rPr>
      </w:pPr>
      <w:r>
        <w:rPr>
          <w:rFonts w:ascii="宋体" w:hAnsi="宋体"/>
          <w:color w:val="auto"/>
          <w:highlight w:val="none"/>
        </w:rPr>
        <w:t xml:space="preserve">4.1 </w:t>
      </w:r>
      <w:r>
        <w:rPr>
          <w:rFonts w:hint="eastAsia" w:ascii="宋体" w:hAnsi="宋体" w:cs="宋体"/>
          <w:color w:val="auto"/>
          <w:highlight w:val="none"/>
        </w:rPr>
        <w:t>投标文件的密封和标记</w:t>
      </w:r>
    </w:p>
    <w:p>
      <w:pPr>
        <w:spacing w:line="360" w:lineRule="exact"/>
        <w:rPr>
          <w:rFonts w:ascii="宋体" w:hAnsi="宋体" w:cs="宋体"/>
          <w:strike/>
          <w:color w:val="auto"/>
          <w:highlight w:val="none"/>
        </w:rPr>
      </w:pPr>
      <w:r>
        <w:rPr>
          <w:rFonts w:hint="eastAsia" w:ascii="宋体" w:hAnsi="宋体" w:cs="宋体"/>
          <w:strike/>
          <w:color w:val="auto"/>
          <w:highlight w:val="none"/>
        </w:rPr>
        <w:t>4.1.1 采用电子投标的，电子投标文件光盘和纸质委托授权书（各1份）应合并包装密封并在封套的封口处加盖投标人单位章。电子投标文件光盘的背面（刻录数据的一面为正面）加贴标签，并在标签处注明投标人名称。</w:t>
      </w:r>
    </w:p>
    <w:p>
      <w:pPr>
        <w:spacing w:line="360" w:lineRule="exact"/>
        <w:rPr>
          <w:rFonts w:ascii="宋体" w:hAnsi="宋体"/>
          <w:strike/>
          <w:color w:val="auto"/>
          <w:highlight w:val="none"/>
        </w:rPr>
      </w:pPr>
      <w:r>
        <w:rPr>
          <w:rFonts w:ascii="宋体" w:hAnsi="宋体"/>
          <w:strike/>
          <w:color w:val="auto"/>
          <w:highlight w:val="none"/>
        </w:rPr>
        <w:t>4.1.2</w:t>
      </w:r>
      <w:r>
        <w:rPr>
          <w:rFonts w:hint="eastAsia" w:ascii="宋体" w:hAnsi="宋体" w:cs="宋体"/>
          <w:strike/>
          <w:color w:val="auto"/>
          <w:highlight w:val="none"/>
        </w:rPr>
        <w:t>不采用电子招标的，投标函和除投标函外的其他投标文件分别作为商务标和技术标分别包装密封并在封套的封口处加盖投标人单位章，商务标数量</w:t>
      </w:r>
      <w:r>
        <w:rPr>
          <w:rFonts w:ascii="宋体" w:hAnsi="宋体"/>
          <w:strike/>
          <w:color w:val="auto"/>
          <w:highlight w:val="none"/>
        </w:rPr>
        <w:t>1</w:t>
      </w:r>
      <w:r>
        <w:rPr>
          <w:rFonts w:hint="eastAsia" w:ascii="宋体" w:hAnsi="宋体" w:cs="宋体"/>
          <w:strike/>
          <w:color w:val="auto"/>
          <w:highlight w:val="none"/>
        </w:rPr>
        <w:t>份，技术标数量</w:t>
      </w:r>
      <w:r>
        <w:rPr>
          <w:rFonts w:ascii="宋体" w:hAnsi="宋体"/>
          <w:strike/>
          <w:color w:val="auto"/>
          <w:highlight w:val="none"/>
        </w:rPr>
        <w:t>5</w:t>
      </w:r>
      <w:r>
        <w:rPr>
          <w:rFonts w:hint="eastAsia" w:ascii="宋体" w:hAnsi="宋体" w:cs="宋体"/>
          <w:strike/>
          <w:color w:val="auto"/>
          <w:highlight w:val="none"/>
        </w:rPr>
        <w:t>份</w:t>
      </w:r>
      <w:r>
        <w:rPr>
          <w:rFonts w:hint="eastAsia" w:ascii="宋体" w:hAnsi="宋体" w:cs="宋体"/>
          <w:b/>
          <w:bCs/>
          <w:strike/>
          <w:color w:val="auto"/>
          <w:highlight w:val="none"/>
          <w:u w:val="single"/>
        </w:rPr>
        <w:t>（</w:t>
      </w:r>
      <w:r>
        <w:rPr>
          <w:rFonts w:ascii="宋体" w:hAnsi="宋体"/>
          <w:b/>
          <w:bCs/>
          <w:strike/>
          <w:color w:val="auto"/>
          <w:highlight w:val="none"/>
          <w:u w:val="single"/>
        </w:rPr>
        <w:t>1</w:t>
      </w:r>
      <w:r>
        <w:rPr>
          <w:rFonts w:hint="eastAsia" w:ascii="宋体" w:hAnsi="宋体" w:cs="宋体"/>
          <w:b/>
          <w:bCs/>
          <w:strike/>
          <w:color w:val="auto"/>
          <w:highlight w:val="none"/>
          <w:u w:val="single"/>
        </w:rPr>
        <w:t>份正本，</w:t>
      </w:r>
      <w:r>
        <w:rPr>
          <w:rFonts w:ascii="宋体" w:hAnsi="宋体"/>
          <w:b/>
          <w:bCs/>
          <w:strike/>
          <w:color w:val="auto"/>
          <w:highlight w:val="none"/>
          <w:u w:val="single"/>
        </w:rPr>
        <w:t>4</w:t>
      </w:r>
      <w:r>
        <w:rPr>
          <w:rFonts w:hint="eastAsia" w:ascii="宋体" w:hAnsi="宋体" w:cs="宋体"/>
          <w:b/>
          <w:bCs/>
          <w:strike/>
          <w:color w:val="auto"/>
          <w:highlight w:val="none"/>
          <w:u w:val="single"/>
        </w:rPr>
        <w:t>份副本，并在封面注明正本或副本）</w:t>
      </w:r>
      <w:r>
        <w:rPr>
          <w:rFonts w:hint="eastAsia" w:ascii="宋体" w:hAnsi="宋体" w:cs="宋体"/>
          <w:strike/>
          <w:color w:val="auto"/>
          <w:highlight w:val="none"/>
        </w:rPr>
        <w:t>。不设技术标的，投标文件不需分商务标和技术标，投标文件标数量</w:t>
      </w:r>
      <w:r>
        <w:rPr>
          <w:rFonts w:ascii="宋体" w:hAnsi="宋体"/>
          <w:strike/>
          <w:color w:val="auto"/>
          <w:highlight w:val="none"/>
        </w:rPr>
        <w:t>5</w:t>
      </w:r>
      <w:r>
        <w:rPr>
          <w:rFonts w:hint="eastAsia" w:ascii="宋体" w:hAnsi="宋体" w:cs="宋体"/>
          <w:strike/>
          <w:color w:val="auto"/>
          <w:highlight w:val="none"/>
        </w:rPr>
        <w:t>份</w:t>
      </w:r>
      <w:r>
        <w:rPr>
          <w:rFonts w:hint="eastAsia" w:ascii="宋体" w:hAnsi="宋体" w:cs="宋体"/>
          <w:b/>
          <w:bCs/>
          <w:strike/>
          <w:color w:val="auto"/>
          <w:highlight w:val="none"/>
          <w:u w:val="single"/>
        </w:rPr>
        <w:t>（</w:t>
      </w:r>
      <w:r>
        <w:rPr>
          <w:rFonts w:ascii="宋体" w:hAnsi="宋体"/>
          <w:b/>
          <w:bCs/>
          <w:strike/>
          <w:color w:val="auto"/>
          <w:highlight w:val="none"/>
          <w:u w:val="single"/>
        </w:rPr>
        <w:t>1</w:t>
      </w:r>
      <w:r>
        <w:rPr>
          <w:rFonts w:hint="eastAsia" w:ascii="宋体" w:hAnsi="宋体" w:cs="宋体"/>
          <w:b/>
          <w:bCs/>
          <w:strike/>
          <w:color w:val="auto"/>
          <w:highlight w:val="none"/>
          <w:u w:val="single"/>
        </w:rPr>
        <w:t>份正本，</w:t>
      </w:r>
      <w:r>
        <w:rPr>
          <w:rFonts w:ascii="宋体" w:hAnsi="宋体"/>
          <w:b/>
          <w:bCs/>
          <w:strike/>
          <w:color w:val="auto"/>
          <w:highlight w:val="none"/>
          <w:u w:val="single"/>
        </w:rPr>
        <w:t>4</w:t>
      </w:r>
      <w:r>
        <w:rPr>
          <w:rFonts w:hint="eastAsia" w:ascii="宋体" w:hAnsi="宋体" w:cs="宋体"/>
          <w:b/>
          <w:bCs/>
          <w:strike/>
          <w:color w:val="auto"/>
          <w:highlight w:val="none"/>
          <w:u w:val="single"/>
        </w:rPr>
        <w:t>份副本，并在封面注明正本或副本）。</w:t>
      </w:r>
    </w:p>
    <w:p>
      <w:pPr>
        <w:spacing w:line="360" w:lineRule="exact"/>
        <w:rPr>
          <w:rFonts w:ascii="宋体" w:hAnsi="宋体"/>
          <w:b/>
          <w:bCs/>
          <w:strike/>
          <w:color w:val="auto"/>
          <w:highlight w:val="none"/>
        </w:rPr>
      </w:pPr>
      <w:r>
        <w:rPr>
          <w:rFonts w:ascii="宋体" w:hAnsi="宋体"/>
          <w:strike/>
          <w:color w:val="auto"/>
          <w:highlight w:val="none"/>
        </w:rPr>
        <w:t xml:space="preserve">4.1.3 </w:t>
      </w:r>
      <w:r>
        <w:rPr>
          <w:rFonts w:hint="eastAsia" w:ascii="宋体" w:hAnsi="宋体" w:cs="宋体"/>
          <w:strike/>
          <w:color w:val="auto"/>
          <w:highlight w:val="none"/>
        </w:rPr>
        <w:t>投标文件的封套上应写明的内容：</w:t>
      </w:r>
      <w:r>
        <w:rPr>
          <w:rFonts w:hint="eastAsia" w:ascii="宋体" w:hAnsi="宋体" w:cs="宋体"/>
          <w:strike/>
          <w:color w:val="auto"/>
          <w:kern w:val="0"/>
          <w:highlight w:val="none"/>
          <w:u w:val="single"/>
          <w:lang w:val="en-US" w:eastAsia="zh-CN"/>
        </w:rPr>
        <w:t xml:space="preserve">                   </w:t>
      </w:r>
      <w:r>
        <w:rPr>
          <w:rFonts w:hint="eastAsia" w:ascii="宋体" w:hAnsi="宋体" w:cs="宋体"/>
          <w:strike/>
          <w:color w:val="auto"/>
          <w:highlight w:val="none"/>
        </w:rPr>
        <w:t>、</w:t>
      </w:r>
      <w:r>
        <w:rPr>
          <w:rFonts w:hint="eastAsia" w:ascii="宋体" w:hAnsi="宋体"/>
          <w:strike/>
          <w:color w:val="auto"/>
          <w:highlight w:val="none"/>
          <w:u w:val="single"/>
          <w:lang w:val="en-US" w:eastAsia="zh-CN"/>
        </w:rPr>
        <w:t xml:space="preserve">            </w:t>
      </w:r>
      <w:r>
        <w:rPr>
          <w:rFonts w:hint="eastAsia" w:ascii="宋体" w:hAnsi="宋体" w:cs="宋体"/>
          <w:b/>
          <w:bCs/>
          <w:strike/>
          <w:color w:val="auto"/>
          <w:highlight w:val="none"/>
        </w:rPr>
        <w:t>招标代理（造价咨询）服务项目；商务标、技术标分别包装的还应在封套上注明“技术标”、“商务标”字样）</w:t>
      </w:r>
    </w:p>
    <w:p>
      <w:pPr>
        <w:spacing w:line="360" w:lineRule="exact"/>
        <w:rPr>
          <w:rFonts w:ascii="宋体" w:hAnsi="宋体" w:cs="宋体"/>
          <w:strike/>
          <w:color w:val="auto"/>
          <w:highlight w:val="none"/>
        </w:rPr>
      </w:pPr>
      <w:r>
        <w:rPr>
          <w:rFonts w:hint="eastAsia" w:ascii="宋体" w:hAnsi="宋体" w:cs="宋体"/>
          <w:strike/>
          <w:color w:val="auto"/>
          <w:highlight w:val="none"/>
        </w:rPr>
        <w:t xml:space="preserve">4.1.3 未按本章4.1.1 或4.1.2 和4.1.3的要求进行分装和对外包装进行密封、加写标记（包括盖章和写明的内容，但不包括电子投标光盘背面的标签及标注要求）的投标文件，招标人不予受理。 </w:t>
      </w:r>
    </w:p>
    <w:p>
      <w:pPr>
        <w:spacing w:line="360" w:lineRule="exact"/>
        <w:outlineLvl w:val="0"/>
        <w:rPr>
          <w:rFonts w:ascii="宋体" w:hAnsi="宋体"/>
          <w:color w:val="auto"/>
          <w:highlight w:val="none"/>
        </w:rPr>
      </w:pPr>
      <w:r>
        <w:rPr>
          <w:rFonts w:ascii="宋体" w:hAnsi="宋体"/>
          <w:color w:val="auto"/>
          <w:highlight w:val="none"/>
        </w:rPr>
        <w:t xml:space="preserve">4.2 </w:t>
      </w:r>
      <w:r>
        <w:rPr>
          <w:rFonts w:hint="eastAsia" w:ascii="宋体" w:hAnsi="宋体" w:cs="宋体"/>
          <w:color w:val="auto"/>
          <w:highlight w:val="none"/>
        </w:rPr>
        <w:t>投标文件的递交</w:t>
      </w:r>
    </w:p>
    <w:p>
      <w:pPr>
        <w:spacing w:line="360" w:lineRule="exact"/>
        <w:rPr>
          <w:rFonts w:ascii="宋体" w:hAnsi="宋体"/>
          <w:color w:val="auto"/>
          <w:highlight w:val="none"/>
        </w:rPr>
      </w:pPr>
      <w:r>
        <w:rPr>
          <w:rFonts w:ascii="宋体" w:hAnsi="宋体"/>
          <w:color w:val="auto"/>
          <w:highlight w:val="none"/>
        </w:rPr>
        <w:t xml:space="preserve">4.2.1 </w:t>
      </w:r>
      <w:r>
        <w:rPr>
          <w:rFonts w:hint="eastAsia" w:ascii="宋体" w:hAnsi="宋体" w:cs="宋体"/>
          <w:color w:val="auto"/>
          <w:highlight w:val="none"/>
        </w:rPr>
        <w:t>投标人应在投标截止时间前递交投标文件。</w:t>
      </w:r>
    </w:p>
    <w:p>
      <w:pPr>
        <w:spacing w:line="360" w:lineRule="exact"/>
        <w:rPr>
          <w:rFonts w:ascii="宋体" w:hAnsi="宋体"/>
          <w:color w:val="auto"/>
          <w:highlight w:val="none"/>
        </w:rPr>
      </w:pPr>
      <w:r>
        <w:rPr>
          <w:rFonts w:ascii="宋体" w:hAnsi="宋体"/>
          <w:color w:val="auto"/>
          <w:highlight w:val="none"/>
        </w:rPr>
        <w:t xml:space="preserve">4.2.2 </w:t>
      </w:r>
      <w:r>
        <w:rPr>
          <w:rFonts w:hint="eastAsia" w:ascii="宋体" w:hAnsi="宋体" w:cs="宋体"/>
          <w:color w:val="auto"/>
          <w:highlight w:val="none"/>
        </w:rPr>
        <w:t>投标人递交投标文件的地点：见招标公告。</w:t>
      </w:r>
    </w:p>
    <w:p>
      <w:pPr>
        <w:spacing w:line="360" w:lineRule="exact"/>
        <w:rPr>
          <w:rFonts w:ascii="宋体" w:hAnsi="宋体"/>
          <w:color w:val="auto"/>
          <w:highlight w:val="none"/>
        </w:rPr>
      </w:pPr>
      <w:r>
        <w:rPr>
          <w:rFonts w:ascii="宋体" w:hAnsi="宋体"/>
          <w:color w:val="auto"/>
          <w:highlight w:val="none"/>
        </w:rPr>
        <w:t xml:space="preserve">4.2.3 </w:t>
      </w:r>
      <w:r>
        <w:rPr>
          <w:rFonts w:hint="eastAsia" w:ascii="宋体" w:hAnsi="宋体" w:cs="宋体"/>
          <w:color w:val="auto"/>
          <w:highlight w:val="none"/>
        </w:rPr>
        <w:t>除另有规定外，投标人所递交的投标文件不予退还。</w:t>
      </w:r>
    </w:p>
    <w:p>
      <w:pPr>
        <w:spacing w:line="360" w:lineRule="exact"/>
        <w:rPr>
          <w:rFonts w:ascii="宋体" w:hAnsi="宋体"/>
          <w:color w:val="auto"/>
          <w:highlight w:val="none"/>
        </w:rPr>
      </w:pPr>
      <w:r>
        <w:rPr>
          <w:rFonts w:ascii="宋体" w:hAnsi="宋体"/>
          <w:color w:val="auto"/>
          <w:highlight w:val="none"/>
        </w:rPr>
        <w:t xml:space="preserve">4.2.4 </w:t>
      </w:r>
      <w:r>
        <w:rPr>
          <w:rFonts w:hint="eastAsia" w:ascii="宋体" w:hAnsi="宋体" w:cs="宋体"/>
          <w:color w:val="auto"/>
          <w:highlight w:val="none"/>
        </w:rPr>
        <w:t xml:space="preserve">不采用电子投标的项目，逾期送达的或者未送达指定地点的投标文件，招标人不予受理。 </w:t>
      </w:r>
    </w:p>
    <w:p>
      <w:pPr>
        <w:spacing w:line="360" w:lineRule="exact"/>
        <w:outlineLvl w:val="0"/>
        <w:rPr>
          <w:rFonts w:ascii="宋体" w:hAnsi="宋体"/>
          <w:color w:val="auto"/>
          <w:highlight w:val="none"/>
        </w:rPr>
      </w:pPr>
      <w:r>
        <w:rPr>
          <w:rFonts w:ascii="宋体" w:hAnsi="宋体"/>
          <w:color w:val="auto"/>
          <w:highlight w:val="none"/>
        </w:rPr>
        <w:t xml:space="preserve">5. </w:t>
      </w:r>
      <w:r>
        <w:rPr>
          <w:rFonts w:hint="eastAsia" w:ascii="宋体" w:hAnsi="宋体" w:cs="宋体"/>
          <w:color w:val="auto"/>
          <w:highlight w:val="none"/>
        </w:rPr>
        <w:t>开标</w:t>
      </w:r>
    </w:p>
    <w:p>
      <w:pPr>
        <w:spacing w:line="360" w:lineRule="exact"/>
        <w:outlineLvl w:val="0"/>
        <w:rPr>
          <w:rFonts w:ascii="宋体" w:hAnsi="宋体"/>
          <w:color w:val="auto"/>
          <w:highlight w:val="none"/>
        </w:rPr>
      </w:pPr>
      <w:r>
        <w:rPr>
          <w:rFonts w:ascii="宋体" w:hAnsi="宋体"/>
          <w:color w:val="auto"/>
          <w:highlight w:val="none"/>
        </w:rPr>
        <w:t xml:space="preserve">5.1 </w:t>
      </w:r>
      <w:r>
        <w:rPr>
          <w:rFonts w:hint="eastAsia" w:ascii="宋体" w:hAnsi="宋体" w:cs="宋体"/>
          <w:color w:val="auto"/>
          <w:highlight w:val="none"/>
        </w:rPr>
        <w:t>开标时间和地点</w:t>
      </w:r>
    </w:p>
    <w:p>
      <w:pPr>
        <w:spacing w:line="360" w:lineRule="exact"/>
        <w:rPr>
          <w:rFonts w:ascii="宋体" w:hAnsi="宋体" w:cs="宋体"/>
          <w:strike/>
          <w:color w:val="auto"/>
          <w:highlight w:val="none"/>
        </w:rPr>
      </w:pPr>
      <w:r>
        <w:rPr>
          <w:rFonts w:ascii="宋体" w:hAnsi="宋体"/>
          <w:color w:val="auto"/>
          <w:highlight w:val="none"/>
        </w:rPr>
        <w:t>5.1.1</w:t>
      </w:r>
      <w:r>
        <w:rPr>
          <w:rFonts w:hint="eastAsia" w:ascii="宋体" w:hAnsi="宋体" w:cs="宋体"/>
          <w:color w:val="auto"/>
          <w:highlight w:val="none"/>
        </w:rPr>
        <w:t>招标人在投标截止时间和投标人递交投标文件地点的同一地点公开开标，</w:t>
      </w:r>
      <w:r>
        <w:rPr>
          <w:rFonts w:hint="eastAsia" w:ascii="宋体" w:hAnsi="宋体" w:cs="宋体"/>
          <w:strike/>
          <w:color w:val="auto"/>
          <w:highlight w:val="none"/>
        </w:rPr>
        <w:t>并邀请所有投标人的法定代表人（或其委托代理人）准时参加。委托代理人必须为绍兴市公共资源交易中心越城区分中心交易员。</w:t>
      </w:r>
    </w:p>
    <w:p>
      <w:pPr>
        <w:spacing w:line="360" w:lineRule="exact"/>
        <w:rPr>
          <w:rFonts w:ascii="宋体" w:hAnsi="宋体" w:cs="宋体"/>
          <w:strike/>
          <w:color w:val="auto"/>
          <w:kern w:val="0"/>
          <w:highlight w:val="none"/>
          <w:lang w:val="zh-CN" w:bidi="zh-CN"/>
        </w:rPr>
      </w:pPr>
      <w:r>
        <w:rPr>
          <w:rFonts w:hint="eastAsia" w:ascii="宋体" w:hAnsi="宋体" w:cs="宋体"/>
          <w:strike/>
          <w:color w:val="auto"/>
          <w:kern w:val="0"/>
          <w:highlight w:val="none"/>
          <w:lang w:val="zh-CN" w:bidi="zh-CN"/>
        </w:rPr>
        <w:t>招标项目建安费超过</w:t>
      </w:r>
      <w:r>
        <w:rPr>
          <w:rFonts w:ascii="宋体" w:hAnsi="宋体" w:cs="宋体"/>
          <w:strike/>
          <w:color w:val="auto"/>
          <w:kern w:val="0"/>
          <w:highlight w:val="none"/>
          <w:lang w:val="zh-CN" w:bidi="zh-CN"/>
        </w:rPr>
        <w:t>10000</w:t>
      </w:r>
      <w:r>
        <w:rPr>
          <w:rFonts w:hint="eastAsia" w:ascii="宋体" w:hAnsi="宋体" w:cs="宋体"/>
          <w:strike/>
          <w:color w:val="auto"/>
          <w:kern w:val="0"/>
          <w:highlight w:val="none"/>
          <w:lang w:val="zh-CN" w:bidi="zh-CN"/>
        </w:rPr>
        <w:t>万元的，投标人的法定代表人必须参加。</w:t>
      </w:r>
    </w:p>
    <w:p>
      <w:pPr>
        <w:spacing w:line="360" w:lineRule="exact"/>
        <w:rPr>
          <w:rFonts w:ascii="宋体" w:hAnsi="宋体" w:cs="宋体"/>
          <w:strike/>
          <w:color w:val="auto"/>
          <w:highlight w:val="none"/>
        </w:rPr>
      </w:pPr>
      <w:r>
        <w:rPr>
          <w:rFonts w:ascii="宋体" w:hAnsi="宋体" w:cs="宋体"/>
          <w:strike/>
          <w:color w:val="auto"/>
          <w:highlight w:val="none"/>
        </w:rPr>
        <w:t>5.1.2</w:t>
      </w:r>
      <w:r>
        <w:rPr>
          <w:rFonts w:hint="eastAsia" w:ascii="宋体" w:hAnsi="宋体" w:cs="宋体"/>
          <w:strike/>
          <w:color w:val="auto"/>
          <w:highlight w:val="none"/>
        </w:rPr>
        <w:t>参加开标会议的投标人法定代表人或委托代理人应随带本人有效身份证，委托代理人参加的还应随带授权委托书。上述资料不论是否已在投标文件中递交，开标时均应另行单独随带。</w:t>
      </w:r>
    </w:p>
    <w:p>
      <w:pPr>
        <w:spacing w:line="360" w:lineRule="exact"/>
        <w:rPr>
          <w:rFonts w:ascii="宋体" w:hAnsi="宋体" w:cs="宋体"/>
          <w:strike/>
          <w:color w:val="auto"/>
          <w:highlight w:val="none"/>
        </w:rPr>
      </w:pPr>
      <w:r>
        <w:rPr>
          <w:rFonts w:hint="eastAsia" w:ascii="宋体" w:hAnsi="宋体" w:cs="宋体"/>
          <w:strike/>
          <w:color w:val="auto"/>
          <w:highlight w:val="none"/>
        </w:rPr>
        <w:t xml:space="preserve">不采用电子投标的项目，委托代理人参加的还应随带授权委托书，上述资料不论是否已在投 标文件中递交，开标时均应另行单独随带。 </w:t>
      </w:r>
    </w:p>
    <w:p>
      <w:pPr>
        <w:tabs>
          <w:tab w:val="left" w:pos="6660"/>
        </w:tabs>
        <w:spacing w:line="360" w:lineRule="exact"/>
        <w:rPr>
          <w:rFonts w:ascii="宋体" w:hAnsi="宋体" w:cs="宋体"/>
          <w:strike/>
          <w:color w:val="auto"/>
          <w:highlight w:val="none"/>
        </w:rPr>
      </w:pPr>
      <w:r>
        <w:rPr>
          <w:rFonts w:hint="eastAsia" w:ascii="宋体" w:hAnsi="宋体" w:cs="宋体"/>
          <w:strike/>
          <w:color w:val="auto"/>
          <w:highlight w:val="none"/>
        </w:rPr>
        <w:t>投标人的法定代表人或其委托代理人应当按时参加开标会，并在递交投标文件时，向招标人提交上述资料，以证明其出席，否则，其投标文件不予签收。</w:t>
      </w:r>
    </w:p>
    <w:p>
      <w:pPr>
        <w:spacing w:line="360" w:lineRule="exact"/>
        <w:outlineLvl w:val="0"/>
        <w:rPr>
          <w:rFonts w:ascii="宋体" w:hAnsi="宋体"/>
          <w:color w:val="auto"/>
          <w:highlight w:val="none"/>
        </w:rPr>
      </w:pPr>
      <w:r>
        <w:rPr>
          <w:rFonts w:ascii="宋体" w:hAnsi="宋体"/>
          <w:color w:val="auto"/>
          <w:highlight w:val="none"/>
        </w:rPr>
        <w:t xml:space="preserve">5.2 </w:t>
      </w:r>
      <w:r>
        <w:rPr>
          <w:rFonts w:hint="eastAsia" w:ascii="宋体" w:hAnsi="宋体" w:cs="宋体"/>
          <w:color w:val="auto"/>
          <w:highlight w:val="none"/>
        </w:rPr>
        <w:t>开标程序</w:t>
      </w:r>
    </w:p>
    <w:p>
      <w:pPr>
        <w:spacing w:line="360" w:lineRule="exact"/>
        <w:rPr>
          <w:rFonts w:ascii="宋体" w:hAnsi="宋体"/>
          <w:color w:val="auto"/>
          <w:highlight w:val="none"/>
        </w:rPr>
      </w:pPr>
      <w:r>
        <w:rPr>
          <w:rFonts w:hint="eastAsia" w:ascii="宋体" w:hAnsi="宋体" w:cs="宋体"/>
          <w:color w:val="auto"/>
          <w:highlight w:val="none"/>
        </w:rPr>
        <w:t>开标一般按下列程序进行：</w:t>
      </w:r>
    </w:p>
    <w:p>
      <w:pPr>
        <w:spacing w:line="360" w:lineRule="exact"/>
        <w:rPr>
          <w:rFonts w:ascii="宋体" w:hAnsi="宋体"/>
          <w:color w:val="auto"/>
          <w:highlight w:val="none"/>
        </w:rPr>
      </w:pPr>
      <w:r>
        <w:rPr>
          <w:rFonts w:hint="eastAsia" w:ascii="宋体" w:hAnsi="宋体" w:cs="宋体"/>
          <w:color w:val="auto"/>
          <w:highlight w:val="none"/>
        </w:rPr>
        <w:t>（</w:t>
      </w:r>
      <w:r>
        <w:rPr>
          <w:rFonts w:ascii="宋体" w:hAnsi="宋体"/>
          <w:color w:val="auto"/>
          <w:highlight w:val="none"/>
        </w:rPr>
        <w:t>1</w:t>
      </w:r>
      <w:r>
        <w:rPr>
          <w:rFonts w:hint="eastAsia" w:ascii="宋体" w:hAnsi="宋体" w:cs="宋体"/>
          <w:color w:val="auto"/>
          <w:highlight w:val="none"/>
        </w:rPr>
        <w:t>）宣布开标纪律；宣布开标人、唱标人、记录人、监标人等有关人员姓名；</w:t>
      </w:r>
    </w:p>
    <w:p>
      <w:pPr>
        <w:spacing w:line="360" w:lineRule="exact"/>
        <w:rPr>
          <w:rFonts w:ascii="宋体" w:hAnsi="宋体" w:cs="宋体"/>
          <w:strike/>
          <w:color w:val="auto"/>
          <w:highlight w:val="none"/>
        </w:rPr>
      </w:pPr>
      <w:r>
        <w:rPr>
          <w:rFonts w:hint="eastAsia" w:ascii="宋体" w:hAnsi="宋体" w:cs="宋体"/>
          <w:strike/>
          <w:color w:val="auto"/>
          <w:highlight w:val="none"/>
        </w:rPr>
        <w:t>（</w:t>
      </w:r>
      <w:r>
        <w:rPr>
          <w:rFonts w:ascii="宋体" w:hAnsi="宋体" w:cs="宋体"/>
          <w:strike/>
          <w:color w:val="auto"/>
          <w:highlight w:val="none"/>
        </w:rPr>
        <w:t>2</w:t>
      </w:r>
      <w:r>
        <w:rPr>
          <w:rFonts w:hint="eastAsia" w:ascii="宋体" w:hAnsi="宋体" w:cs="宋体"/>
          <w:strike/>
          <w:color w:val="auto"/>
          <w:highlight w:val="none"/>
        </w:rPr>
        <w:t>）检查投标文件的密封情况；</w:t>
      </w:r>
    </w:p>
    <w:p>
      <w:pPr>
        <w:spacing w:line="360" w:lineRule="exact"/>
        <w:rPr>
          <w:rFonts w:ascii="宋体" w:hAnsi="宋体"/>
          <w:color w:val="auto"/>
          <w:highlight w:val="none"/>
        </w:rPr>
      </w:pPr>
      <w:r>
        <w:rPr>
          <w:rFonts w:hint="eastAsia" w:ascii="宋体" w:hAnsi="宋体" w:cs="宋体"/>
          <w:color w:val="auto"/>
          <w:highlight w:val="none"/>
        </w:rPr>
        <w:t>（</w:t>
      </w:r>
      <w:r>
        <w:rPr>
          <w:rFonts w:ascii="宋体" w:hAnsi="宋体"/>
          <w:color w:val="auto"/>
          <w:highlight w:val="none"/>
        </w:rPr>
        <w:t>3</w:t>
      </w:r>
      <w:r>
        <w:rPr>
          <w:rFonts w:hint="eastAsia" w:ascii="宋体" w:hAnsi="宋体" w:cs="宋体"/>
          <w:color w:val="auto"/>
          <w:highlight w:val="none"/>
        </w:rPr>
        <w:t>）公布在投标截止时间前递交投标文件的投标人名称；</w:t>
      </w:r>
    </w:p>
    <w:p>
      <w:pPr>
        <w:spacing w:line="360" w:lineRule="exact"/>
        <w:rPr>
          <w:rFonts w:ascii="宋体" w:hAnsi="宋体"/>
          <w:color w:val="auto"/>
          <w:highlight w:val="none"/>
        </w:rPr>
      </w:pPr>
      <w:r>
        <w:rPr>
          <w:rFonts w:hint="eastAsia" w:ascii="宋体" w:hAnsi="宋体" w:cs="宋体"/>
          <w:color w:val="auto"/>
          <w:highlight w:val="none"/>
        </w:rPr>
        <w:t>（</w:t>
      </w:r>
      <w:r>
        <w:rPr>
          <w:rFonts w:ascii="宋体" w:hAnsi="宋体"/>
          <w:color w:val="auto"/>
          <w:highlight w:val="none"/>
        </w:rPr>
        <w:t>4</w:t>
      </w:r>
      <w:r>
        <w:rPr>
          <w:rFonts w:hint="eastAsia" w:ascii="宋体" w:hAnsi="宋体" w:cs="宋体"/>
          <w:color w:val="auto"/>
          <w:highlight w:val="none"/>
        </w:rPr>
        <w:t>）需进行评标入围的，组织评标入围；</w:t>
      </w:r>
    </w:p>
    <w:p>
      <w:pPr>
        <w:spacing w:line="360" w:lineRule="exact"/>
        <w:rPr>
          <w:rFonts w:ascii="宋体" w:hAnsi="宋体"/>
          <w:color w:val="auto"/>
          <w:highlight w:val="none"/>
        </w:rPr>
      </w:pPr>
      <w:r>
        <w:rPr>
          <w:rFonts w:hint="eastAsia" w:ascii="宋体" w:hAnsi="宋体" w:cs="宋体"/>
          <w:color w:val="auto"/>
          <w:highlight w:val="none"/>
        </w:rPr>
        <w:t>（</w:t>
      </w:r>
      <w:r>
        <w:rPr>
          <w:rFonts w:ascii="宋体" w:hAnsi="宋体"/>
          <w:color w:val="auto"/>
          <w:highlight w:val="none"/>
        </w:rPr>
        <w:t>5</w:t>
      </w:r>
      <w:r>
        <w:rPr>
          <w:rFonts w:hint="eastAsia" w:ascii="宋体" w:hAnsi="宋体" w:cs="宋体"/>
          <w:color w:val="auto"/>
          <w:highlight w:val="none"/>
        </w:rPr>
        <w:t>）</w:t>
      </w:r>
      <w:r>
        <w:rPr>
          <w:color w:val="auto"/>
          <w:highlight w:val="none"/>
        </w:rPr>
        <w:t>以评标入围产生的顺序当</w:t>
      </w:r>
      <w:r>
        <w:rPr>
          <w:rFonts w:hint="eastAsia"/>
          <w:color w:val="auto"/>
          <w:highlight w:val="none"/>
        </w:rPr>
        <w:t>众</w:t>
      </w:r>
      <w:r>
        <w:rPr>
          <w:color w:val="auto"/>
          <w:highlight w:val="none"/>
        </w:rPr>
        <w:t>开标</w:t>
      </w:r>
      <w:r>
        <w:rPr>
          <w:rFonts w:hint="eastAsia" w:ascii="宋体" w:hAnsi="宋体" w:cs="宋体"/>
          <w:color w:val="auto"/>
          <w:highlight w:val="none"/>
        </w:rPr>
        <w:t>，并记录在案；</w:t>
      </w:r>
    </w:p>
    <w:p>
      <w:pPr>
        <w:spacing w:line="360" w:lineRule="exact"/>
        <w:rPr>
          <w:rFonts w:ascii="宋体" w:hAnsi="宋体"/>
          <w:color w:val="auto"/>
          <w:highlight w:val="none"/>
        </w:rPr>
      </w:pPr>
      <w:r>
        <w:rPr>
          <w:rFonts w:hint="eastAsia" w:ascii="宋体" w:hAnsi="宋体" w:cs="宋体"/>
          <w:color w:val="auto"/>
          <w:highlight w:val="none"/>
        </w:rPr>
        <w:t>（</w:t>
      </w:r>
      <w:r>
        <w:rPr>
          <w:rFonts w:ascii="宋体" w:hAnsi="宋体"/>
          <w:color w:val="auto"/>
          <w:highlight w:val="none"/>
        </w:rPr>
        <w:t>6</w:t>
      </w:r>
      <w:r>
        <w:rPr>
          <w:rFonts w:hint="eastAsia" w:ascii="宋体" w:hAnsi="宋体" w:cs="宋体"/>
          <w:color w:val="auto"/>
          <w:highlight w:val="none"/>
        </w:rPr>
        <w:t>）</w:t>
      </w:r>
      <w:r>
        <w:rPr>
          <w:rFonts w:hint="eastAsia" w:ascii="宋体" w:hAnsi="宋体"/>
          <w:strike/>
          <w:color w:val="auto"/>
          <w:highlight w:val="none"/>
        </w:rPr>
        <w:t>投标人代表</w:t>
      </w:r>
      <w:r>
        <w:rPr>
          <w:rFonts w:hint="eastAsia" w:ascii="宋体" w:hAnsi="宋体"/>
          <w:color w:val="auto"/>
          <w:highlight w:val="none"/>
        </w:rPr>
        <w:t>（投标人不需签字确认）</w:t>
      </w:r>
      <w:r>
        <w:rPr>
          <w:rFonts w:hint="eastAsia" w:ascii="宋体" w:hAnsi="宋体" w:cs="宋体"/>
          <w:color w:val="auto"/>
          <w:highlight w:val="none"/>
        </w:rPr>
        <w:t>、招标人代表、监标人、记录人等有关人员在开标记录上签字确认；</w:t>
      </w:r>
    </w:p>
    <w:p>
      <w:pPr>
        <w:spacing w:line="360" w:lineRule="exact"/>
        <w:rPr>
          <w:rFonts w:ascii="宋体" w:hAnsi="宋体"/>
          <w:color w:val="auto"/>
          <w:highlight w:val="none"/>
        </w:rPr>
      </w:pPr>
      <w:r>
        <w:rPr>
          <w:rFonts w:hint="eastAsia" w:ascii="宋体" w:hAnsi="宋体" w:cs="宋体"/>
          <w:color w:val="auto"/>
          <w:highlight w:val="none"/>
        </w:rPr>
        <w:t>（</w:t>
      </w:r>
      <w:r>
        <w:rPr>
          <w:rFonts w:ascii="宋体" w:hAnsi="宋体"/>
          <w:color w:val="auto"/>
          <w:highlight w:val="none"/>
        </w:rPr>
        <w:t>7</w:t>
      </w:r>
      <w:r>
        <w:rPr>
          <w:rFonts w:hint="eastAsia" w:ascii="宋体" w:hAnsi="宋体" w:cs="宋体"/>
          <w:color w:val="auto"/>
          <w:highlight w:val="none"/>
        </w:rPr>
        <w:t>）开标结束。</w:t>
      </w:r>
    </w:p>
    <w:p>
      <w:pPr>
        <w:spacing w:line="360" w:lineRule="exact"/>
        <w:outlineLvl w:val="0"/>
        <w:rPr>
          <w:rFonts w:ascii="宋体" w:hAnsi="宋体"/>
          <w:color w:val="auto"/>
          <w:highlight w:val="none"/>
        </w:rPr>
      </w:pPr>
      <w:r>
        <w:rPr>
          <w:rFonts w:ascii="宋体" w:hAnsi="宋体"/>
          <w:color w:val="auto"/>
          <w:highlight w:val="none"/>
        </w:rPr>
        <w:t xml:space="preserve">5.3 </w:t>
      </w:r>
      <w:r>
        <w:rPr>
          <w:rFonts w:hint="eastAsia" w:ascii="宋体" w:hAnsi="宋体" w:cs="宋体"/>
          <w:color w:val="auto"/>
          <w:highlight w:val="none"/>
        </w:rPr>
        <w:t>评标入围</w:t>
      </w:r>
    </w:p>
    <w:p>
      <w:pPr>
        <w:spacing w:line="360" w:lineRule="exact"/>
        <w:rPr>
          <w:rFonts w:ascii="宋体" w:hAnsi="宋体" w:cs="宋体"/>
          <w:color w:val="auto"/>
          <w:highlight w:val="none"/>
        </w:rPr>
      </w:pPr>
      <w:r>
        <w:rPr>
          <w:rFonts w:hint="eastAsia" w:ascii="宋体" w:hAnsi="宋体" w:cs="宋体"/>
          <w:color w:val="auto"/>
          <w:highlight w:val="none"/>
        </w:rPr>
        <w:t>评标入围方法：入围10家，具体入围办法如下：参加开标并按规定递交投标文件的投标人超过10家的，应采用随机的方式确定10家投标人进入评审，不足10家全部入围。</w:t>
      </w:r>
    </w:p>
    <w:p>
      <w:pPr>
        <w:spacing w:line="360" w:lineRule="exact"/>
        <w:outlineLvl w:val="0"/>
        <w:rPr>
          <w:rFonts w:ascii="宋体" w:hAnsi="宋体" w:cs="宋体"/>
          <w:color w:val="auto"/>
          <w:highlight w:val="none"/>
        </w:rPr>
      </w:pPr>
      <w:r>
        <w:rPr>
          <w:rFonts w:hint="eastAsia" w:ascii="宋体" w:hAnsi="宋体" w:cs="宋体"/>
          <w:color w:val="auto"/>
          <w:highlight w:val="none"/>
        </w:rPr>
        <w:t>5.4 开标特别说明（采用电子投标的项目）</w:t>
      </w:r>
    </w:p>
    <w:p>
      <w:pPr>
        <w:autoSpaceDE w:val="0"/>
        <w:autoSpaceDN w:val="0"/>
        <w:adjustRightInd w:val="0"/>
        <w:rPr>
          <w:rFonts w:ascii="宋体" w:hAnsi="宋体" w:cs="宋体"/>
          <w:b/>
          <w:bCs/>
          <w:color w:val="auto"/>
          <w:kern w:val="0"/>
          <w:highlight w:val="none"/>
          <w:lang w:val="zh-CN"/>
        </w:rPr>
      </w:pPr>
      <w:r>
        <w:rPr>
          <w:rFonts w:ascii="宋体" w:hAnsi="宋体" w:cs="宋体"/>
          <w:b/>
          <w:bCs/>
          <w:color w:val="auto"/>
          <w:kern w:val="0"/>
          <w:highlight w:val="none"/>
          <w:lang w:val="zh-CN"/>
        </w:rPr>
        <w:t>1</w:t>
      </w:r>
      <w:r>
        <w:rPr>
          <w:rFonts w:hint="eastAsia" w:ascii="宋体" w:hAnsi="宋体" w:cs="宋体"/>
          <w:b/>
          <w:bCs/>
          <w:color w:val="auto"/>
          <w:kern w:val="0"/>
          <w:highlight w:val="none"/>
          <w:lang w:val="zh-CN"/>
        </w:rPr>
        <w:t>、投标人应实时关注不见面开标系统页面，观看开标全过程，并根据需要，使用不见面开标系统与招标人进行互动交流澄清、异议、投标文件解密等活动。</w:t>
      </w:r>
    </w:p>
    <w:p>
      <w:pPr>
        <w:autoSpaceDE w:val="0"/>
        <w:autoSpaceDN w:val="0"/>
        <w:adjustRightInd w:val="0"/>
        <w:rPr>
          <w:rFonts w:ascii="宋体" w:hAnsi="宋体" w:cs="宋体"/>
          <w:b/>
          <w:bCs/>
          <w:color w:val="auto"/>
          <w:kern w:val="0"/>
          <w:highlight w:val="none"/>
          <w:lang w:val="zh-CN"/>
        </w:rPr>
      </w:pPr>
      <w:r>
        <w:rPr>
          <w:rFonts w:hint="eastAsia" w:ascii="宋体" w:hAnsi="宋体" w:cs="宋体"/>
          <w:b/>
          <w:bCs/>
          <w:color w:val="auto"/>
          <w:kern w:val="0"/>
          <w:highlight w:val="none"/>
          <w:lang w:val="zh-CN"/>
        </w:rPr>
        <w:t>2、投标人使用CA锁登录不见面开标系统，参与在线开标活动，均被视为是投标人的法定代表人或其委托代理人，承担相应的法律责任。</w:t>
      </w:r>
    </w:p>
    <w:p>
      <w:pPr>
        <w:autoSpaceDE w:val="0"/>
        <w:autoSpaceDN w:val="0"/>
        <w:adjustRightInd w:val="0"/>
        <w:rPr>
          <w:rFonts w:ascii="宋体" w:hAnsi="宋体" w:cs="宋体"/>
          <w:b/>
          <w:bCs/>
          <w:color w:val="auto"/>
          <w:kern w:val="0"/>
          <w:highlight w:val="none"/>
          <w:lang w:val="zh-CN"/>
        </w:rPr>
      </w:pPr>
      <w:r>
        <w:rPr>
          <w:rFonts w:hint="eastAsia" w:ascii="宋体" w:hAnsi="宋体" w:cs="宋体"/>
          <w:b/>
          <w:bCs/>
          <w:color w:val="auto"/>
          <w:kern w:val="0"/>
          <w:highlight w:val="none"/>
          <w:lang w:val="zh-CN"/>
        </w:rPr>
        <w:t>3、未及时登录不见面开标系统，参与在线开标的投标人，视为放弃交流和对开评标全过程提出疑义的权利。并且投标人将无法获取解密指令、废标、澄清、唱标、评审结果等实时情况。投标人应承担由此引起的相关风险。</w:t>
      </w:r>
    </w:p>
    <w:p>
      <w:pPr>
        <w:autoSpaceDE w:val="0"/>
        <w:autoSpaceDN w:val="0"/>
        <w:adjustRightInd w:val="0"/>
        <w:rPr>
          <w:rFonts w:ascii="宋体" w:hAnsi="宋体" w:cs="宋体"/>
          <w:b/>
          <w:bCs/>
          <w:color w:val="auto"/>
          <w:kern w:val="0"/>
          <w:highlight w:val="none"/>
          <w:lang w:val="zh-CN"/>
        </w:rPr>
      </w:pPr>
      <w:r>
        <w:rPr>
          <w:rFonts w:hint="eastAsia" w:ascii="宋体" w:hAnsi="宋体" w:cs="宋体"/>
          <w:b/>
          <w:bCs/>
          <w:color w:val="auto"/>
          <w:kern w:val="0"/>
          <w:highlight w:val="none"/>
          <w:lang w:val="zh-CN"/>
        </w:rPr>
        <w:t>4、投标文件解密在30分钟内完成，具体以电子招投标交易平台系统时间为准。因投标人原因造成其电子投标文件未解密的，视为撤销其投标文件；因投标人之外的原因造成电子投标文件未解密的，采用</w:t>
      </w:r>
      <w:r>
        <w:rPr>
          <w:rFonts w:hint="eastAsia" w:ascii="宋体" w:hAnsi="宋体" w:cs="宋体"/>
          <w:b/>
          <w:bCs/>
          <w:color w:val="auto"/>
          <w:kern w:val="0"/>
          <w:highlight w:val="none"/>
        </w:rPr>
        <w:t>非加密电子</w:t>
      </w:r>
      <w:r>
        <w:rPr>
          <w:rFonts w:hint="eastAsia" w:ascii="宋体" w:hAnsi="宋体" w:cs="宋体"/>
          <w:b/>
          <w:bCs/>
          <w:color w:val="auto"/>
          <w:kern w:val="0"/>
          <w:highlight w:val="none"/>
          <w:lang w:val="zh-CN"/>
        </w:rPr>
        <w:t>投标文件</w:t>
      </w:r>
      <w:r>
        <w:rPr>
          <w:rFonts w:hint="eastAsia" w:ascii="宋体" w:hAnsi="宋体" w:cs="宋体"/>
          <w:b/>
          <w:bCs/>
          <w:color w:val="auto"/>
          <w:kern w:val="0"/>
          <w:highlight w:val="none"/>
        </w:rPr>
        <w:t>导入方式继续</w:t>
      </w:r>
      <w:r>
        <w:rPr>
          <w:rFonts w:hint="eastAsia" w:ascii="宋体" w:hAnsi="宋体" w:cs="宋体"/>
          <w:b/>
          <w:bCs/>
          <w:color w:val="auto"/>
          <w:kern w:val="0"/>
          <w:highlight w:val="none"/>
          <w:lang w:val="zh-CN"/>
        </w:rPr>
        <w:t>开标，但因投标人未按规定递交非加密电子投标文件或因投标人原因造成非加密电子投标文件无法导入的视作撤销其投标文件。</w:t>
      </w:r>
    </w:p>
    <w:p>
      <w:pPr>
        <w:spacing w:line="360" w:lineRule="exact"/>
        <w:rPr>
          <w:rFonts w:ascii="宋体" w:hAnsi="宋体" w:cs="宋体"/>
          <w:color w:val="auto"/>
          <w:highlight w:val="none"/>
        </w:rPr>
      </w:pPr>
      <w:r>
        <w:rPr>
          <w:rFonts w:hint="eastAsia" w:ascii="宋体" w:hAnsi="宋体" w:cs="宋体"/>
          <w:b/>
          <w:bCs/>
          <w:color w:val="auto"/>
          <w:kern w:val="0"/>
          <w:highlight w:val="none"/>
          <w:lang w:val="zh-CN"/>
        </w:rPr>
        <w:t>部分投标人的电子投标文件无法解密的，其他投标文件的开标可以继续进行</w:t>
      </w:r>
      <w:r>
        <w:rPr>
          <w:rFonts w:hint="eastAsia" w:ascii="宋体" w:hAnsi="宋体" w:cs="宋体"/>
          <w:color w:val="auto"/>
          <w:highlight w:val="none"/>
        </w:rPr>
        <w:t xml:space="preserve">。 </w:t>
      </w:r>
    </w:p>
    <w:p>
      <w:pPr>
        <w:spacing w:line="360" w:lineRule="exact"/>
        <w:outlineLvl w:val="0"/>
        <w:rPr>
          <w:rFonts w:ascii="宋体" w:hAnsi="宋体"/>
          <w:color w:val="auto"/>
          <w:highlight w:val="none"/>
        </w:rPr>
      </w:pPr>
      <w:r>
        <w:rPr>
          <w:rFonts w:ascii="宋体" w:hAnsi="宋体"/>
          <w:color w:val="auto"/>
          <w:highlight w:val="none"/>
        </w:rPr>
        <w:t xml:space="preserve">6. </w:t>
      </w:r>
      <w:r>
        <w:rPr>
          <w:rFonts w:hint="eastAsia" w:ascii="宋体" w:hAnsi="宋体" w:cs="宋体"/>
          <w:color w:val="auto"/>
          <w:highlight w:val="none"/>
        </w:rPr>
        <w:t>评标</w:t>
      </w:r>
    </w:p>
    <w:p>
      <w:pPr>
        <w:spacing w:line="360" w:lineRule="exact"/>
        <w:outlineLvl w:val="0"/>
        <w:rPr>
          <w:rFonts w:ascii="宋体" w:hAnsi="宋体"/>
          <w:color w:val="auto"/>
          <w:highlight w:val="none"/>
        </w:rPr>
      </w:pPr>
      <w:r>
        <w:rPr>
          <w:rFonts w:ascii="宋体" w:hAnsi="宋体"/>
          <w:color w:val="auto"/>
          <w:highlight w:val="none"/>
        </w:rPr>
        <w:t xml:space="preserve">6.1 </w:t>
      </w:r>
      <w:r>
        <w:rPr>
          <w:rFonts w:hint="eastAsia" w:ascii="宋体" w:hAnsi="宋体" w:cs="宋体"/>
          <w:color w:val="auto"/>
          <w:highlight w:val="none"/>
        </w:rPr>
        <w:t>评标委员会</w:t>
      </w:r>
    </w:p>
    <w:p>
      <w:pPr>
        <w:spacing w:line="360" w:lineRule="exact"/>
        <w:rPr>
          <w:rFonts w:ascii="宋体" w:hAnsi="宋体"/>
          <w:color w:val="auto"/>
          <w:highlight w:val="none"/>
        </w:rPr>
      </w:pPr>
      <w:r>
        <w:rPr>
          <w:rFonts w:ascii="宋体" w:hAnsi="宋体"/>
          <w:color w:val="auto"/>
          <w:highlight w:val="none"/>
        </w:rPr>
        <w:t xml:space="preserve">6.1.1 </w:t>
      </w:r>
      <w:r>
        <w:rPr>
          <w:rFonts w:hint="eastAsia" w:ascii="宋体" w:hAnsi="宋体" w:cs="宋体"/>
          <w:color w:val="auto"/>
          <w:highlight w:val="none"/>
        </w:rPr>
        <w:t>评标由招标人依法组建的评标委员会负责。</w:t>
      </w:r>
    </w:p>
    <w:p>
      <w:pPr>
        <w:spacing w:line="360" w:lineRule="exact"/>
        <w:rPr>
          <w:rFonts w:ascii="宋体" w:hAnsi="宋体"/>
          <w:color w:val="auto"/>
          <w:highlight w:val="none"/>
        </w:rPr>
      </w:pPr>
      <w:r>
        <w:rPr>
          <w:rFonts w:hint="eastAsia" w:ascii="宋体" w:hAnsi="宋体" w:cs="宋体"/>
          <w:color w:val="auto"/>
          <w:highlight w:val="none"/>
        </w:rPr>
        <w:t>评标委员会成员人数以及确定方式：</w:t>
      </w:r>
      <w:r>
        <w:rPr>
          <w:rFonts w:ascii="宋体" w:hAnsi="宋体"/>
          <w:color w:val="auto"/>
          <w:highlight w:val="none"/>
          <w:u w:val="single"/>
        </w:rPr>
        <w:t>评标委员会构成</w:t>
      </w:r>
      <w:r>
        <w:rPr>
          <w:rFonts w:hint="eastAsia" w:ascii="宋体" w:hAnsi="宋体"/>
          <w:color w:val="auto"/>
          <w:highlight w:val="none"/>
          <w:u w:val="single"/>
        </w:rPr>
        <w:t>：5</w:t>
      </w:r>
      <w:r>
        <w:rPr>
          <w:rFonts w:ascii="宋体" w:hAnsi="宋体"/>
          <w:color w:val="auto"/>
          <w:highlight w:val="none"/>
          <w:u w:val="single"/>
        </w:rPr>
        <w:t xml:space="preserve"> 人，其中</w:t>
      </w:r>
      <w:r>
        <w:rPr>
          <w:rFonts w:hint="eastAsia" w:ascii="宋体" w:hAnsi="宋体"/>
          <w:color w:val="auto"/>
          <w:highlight w:val="none"/>
          <w:u w:val="single"/>
        </w:rPr>
        <w:t>：</w:t>
      </w:r>
      <w:r>
        <w:rPr>
          <w:rFonts w:ascii="宋体" w:hAnsi="宋体"/>
          <w:color w:val="auto"/>
          <w:highlight w:val="none"/>
          <w:u w:val="single"/>
        </w:rPr>
        <w:t>招标人代表</w:t>
      </w:r>
      <w:r>
        <w:rPr>
          <w:rFonts w:hint="eastAsia" w:ascii="宋体" w:hAnsi="宋体"/>
          <w:color w:val="auto"/>
          <w:highlight w:val="none"/>
          <w:u w:val="single"/>
        </w:rPr>
        <w:t>0</w:t>
      </w:r>
      <w:r>
        <w:rPr>
          <w:rFonts w:ascii="宋体" w:hAnsi="宋体"/>
          <w:color w:val="auto"/>
          <w:highlight w:val="none"/>
          <w:u w:val="single"/>
        </w:rPr>
        <w:t>人</w:t>
      </w:r>
      <w:r>
        <w:rPr>
          <w:rFonts w:hint="eastAsia" w:ascii="宋体" w:hAnsi="宋体"/>
          <w:color w:val="auto"/>
          <w:highlight w:val="none"/>
          <w:u w:val="single"/>
        </w:rPr>
        <w:t>，</w:t>
      </w:r>
      <w:r>
        <w:rPr>
          <w:rFonts w:ascii="宋体" w:hAnsi="宋体"/>
          <w:color w:val="auto"/>
          <w:highlight w:val="none"/>
          <w:u w:val="single"/>
        </w:rPr>
        <w:t>专家</w:t>
      </w:r>
      <w:r>
        <w:rPr>
          <w:rFonts w:hint="eastAsia" w:ascii="宋体" w:hAnsi="宋体"/>
          <w:color w:val="auto"/>
          <w:highlight w:val="none"/>
          <w:u w:val="single"/>
        </w:rPr>
        <w:t>5</w:t>
      </w:r>
      <w:r>
        <w:rPr>
          <w:rFonts w:ascii="宋体" w:hAnsi="宋体"/>
          <w:color w:val="auto"/>
          <w:highlight w:val="none"/>
          <w:u w:val="single"/>
        </w:rPr>
        <w:t>人；评标专家确定方式：</w:t>
      </w:r>
      <w:r>
        <w:rPr>
          <w:rFonts w:hint="eastAsia" w:ascii="宋体" w:hAnsi="宋体"/>
          <w:b/>
          <w:bCs/>
          <w:color w:val="auto"/>
          <w:highlight w:val="none"/>
          <w:u w:val="single"/>
        </w:rPr>
        <w:t>专家库中随机抽取产生</w:t>
      </w:r>
      <w:r>
        <w:rPr>
          <w:rFonts w:hint="eastAsia" w:ascii="宋体" w:hAnsi="宋体" w:cs="宋体"/>
          <w:b/>
          <w:bCs/>
          <w:color w:val="auto"/>
          <w:highlight w:val="none"/>
        </w:rPr>
        <w:t>。</w:t>
      </w:r>
    </w:p>
    <w:p>
      <w:pPr>
        <w:spacing w:line="360" w:lineRule="exact"/>
        <w:outlineLvl w:val="0"/>
        <w:rPr>
          <w:rFonts w:ascii="宋体" w:hAnsi="宋体"/>
          <w:color w:val="auto"/>
          <w:highlight w:val="none"/>
        </w:rPr>
      </w:pPr>
      <w:r>
        <w:rPr>
          <w:rFonts w:ascii="宋体" w:hAnsi="宋体"/>
          <w:color w:val="auto"/>
          <w:highlight w:val="none"/>
        </w:rPr>
        <w:t xml:space="preserve">6.3 </w:t>
      </w:r>
      <w:r>
        <w:rPr>
          <w:rFonts w:hint="eastAsia" w:ascii="宋体" w:hAnsi="宋体" w:cs="宋体"/>
          <w:color w:val="auto"/>
          <w:highlight w:val="none"/>
        </w:rPr>
        <w:t>评标</w:t>
      </w:r>
    </w:p>
    <w:p>
      <w:pPr>
        <w:spacing w:line="360" w:lineRule="exact"/>
        <w:rPr>
          <w:rFonts w:ascii="宋体" w:hAnsi="宋体"/>
          <w:color w:val="auto"/>
          <w:highlight w:val="none"/>
        </w:rPr>
      </w:pPr>
      <w:r>
        <w:rPr>
          <w:rFonts w:hint="eastAsia" w:ascii="宋体" w:hAnsi="宋体" w:cs="宋体"/>
          <w:color w:val="auto"/>
          <w:highlight w:val="none"/>
        </w:rPr>
        <w:t>评标委员会按照第三章评标办法规定要求对投标文件进行评审；没有规定的方法、评审因素和标准，不作为评标依据。</w:t>
      </w:r>
    </w:p>
    <w:p>
      <w:pPr>
        <w:spacing w:line="360" w:lineRule="exact"/>
        <w:outlineLvl w:val="0"/>
        <w:rPr>
          <w:rFonts w:ascii="宋体" w:hAnsi="宋体"/>
          <w:color w:val="auto"/>
          <w:highlight w:val="none"/>
        </w:rPr>
      </w:pPr>
      <w:r>
        <w:rPr>
          <w:rFonts w:ascii="宋体" w:hAnsi="宋体"/>
          <w:color w:val="auto"/>
          <w:highlight w:val="none"/>
        </w:rPr>
        <w:t xml:space="preserve">7. </w:t>
      </w:r>
      <w:r>
        <w:rPr>
          <w:rFonts w:hint="eastAsia" w:ascii="宋体" w:hAnsi="宋体" w:cs="宋体"/>
          <w:color w:val="auto"/>
          <w:highlight w:val="none"/>
        </w:rPr>
        <w:t>合同授予</w:t>
      </w:r>
    </w:p>
    <w:p>
      <w:pPr>
        <w:spacing w:line="360" w:lineRule="exact"/>
        <w:outlineLvl w:val="0"/>
        <w:rPr>
          <w:rFonts w:ascii="宋体" w:hAnsi="宋体"/>
          <w:color w:val="auto"/>
          <w:highlight w:val="none"/>
        </w:rPr>
      </w:pPr>
      <w:r>
        <w:rPr>
          <w:rFonts w:ascii="宋体" w:hAnsi="宋体"/>
          <w:color w:val="auto"/>
          <w:highlight w:val="none"/>
        </w:rPr>
        <w:t xml:space="preserve">7.1 </w:t>
      </w:r>
      <w:r>
        <w:rPr>
          <w:rFonts w:hint="eastAsia" w:ascii="宋体" w:hAnsi="宋体" w:cs="宋体"/>
          <w:color w:val="auto"/>
          <w:highlight w:val="none"/>
        </w:rPr>
        <w:t>中标候选人确定</w:t>
      </w:r>
    </w:p>
    <w:p>
      <w:pPr>
        <w:spacing w:line="360" w:lineRule="exact"/>
        <w:rPr>
          <w:rFonts w:ascii="宋体" w:hAnsi="宋体"/>
          <w:color w:val="auto"/>
          <w:highlight w:val="none"/>
        </w:rPr>
      </w:pPr>
      <w:r>
        <w:rPr>
          <w:rFonts w:hint="eastAsia" w:ascii="宋体" w:hAnsi="宋体" w:cs="宋体"/>
          <w:color w:val="auto"/>
          <w:highlight w:val="none"/>
        </w:rPr>
        <w:t>评标委员会按照评标得分最高分直接确定中标候选人</w:t>
      </w:r>
      <w:r>
        <w:rPr>
          <w:rFonts w:ascii="宋体" w:hAnsi="宋体"/>
          <w:color w:val="auto"/>
          <w:highlight w:val="none"/>
        </w:rPr>
        <w:t>1</w:t>
      </w:r>
      <w:r>
        <w:rPr>
          <w:rFonts w:hint="eastAsia" w:ascii="宋体" w:hAnsi="宋体" w:cs="宋体"/>
          <w:color w:val="auto"/>
          <w:highlight w:val="none"/>
        </w:rPr>
        <w:t>名。最高分相同的，以价格低（浮动率低）的为中标候选人；价格（浮动率）也相同的，由招标人抽签决定。</w:t>
      </w:r>
    </w:p>
    <w:p>
      <w:pPr>
        <w:spacing w:line="360" w:lineRule="exact"/>
        <w:outlineLvl w:val="0"/>
        <w:rPr>
          <w:rFonts w:ascii="宋体" w:hAnsi="宋体"/>
          <w:color w:val="auto"/>
          <w:highlight w:val="none"/>
        </w:rPr>
      </w:pPr>
      <w:r>
        <w:rPr>
          <w:rFonts w:ascii="宋体" w:hAnsi="宋体"/>
          <w:color w:val="auto"/>
          <w:highlight w:val="none"/>
        </w:rPr>
        <w:t xml:space="preserve">7.2 </w:t>
      </w:r>
      <w:r>
        <w:rPr>
          <w:rFonts w:hint="eastAsia" w:ascii="宋体" w:hAnsi="宋体" w:cs="宋体"/>
          <w:color w:val="auto"/>
          <w:highlight w:val="none"/>
        </w:rPr>
        <w:t>中标公示</w:t>
      </w:r>
    </w:p>
    <w:p>
      <w:pPr>
        <w:spacing w:line="360" w:lineRule="exact"/>
        <w:rPr>
          <w:rFonts w:ascii="宋体" w:hAnsi="宋体"/>
          <w:color w:val="auto"/>
          <w:highlight w:val="none"/>
        </w:rPr>
      </w:pPr>
      <w:r>
        <w:rPr>
          <w:rFonts w:hint="eastAsia" w:ascii="宋体" w:hAnsi="宋体" w:cs="宋体"/>
          <w:color w:val="auto"/>
          <w:highlight w:val="none"/>
        </w:rPr>
        <w:t>招标人将中标候选人确定结果在</w:t>
      </w:r>
      <w:r>
        <w:rPr>
          <w:rFonts w:hint="eastAsia" w:ascii="宋体" w:hAnsi="宋体" w:cs="宋体"/>
          <w:color w:val="auto"/>
          <w:highlight w:val="none"/>
          <w:u w:val="single"/>
        </w:rPr>
        <w:t>越城区人民政府门户网站公示</w:t>
      </w:r>
      <w:r>
        <w:rPr>
          <w:rFonts w:hint="eastAsia" w:ascii="宋体" w:hAnsi="宋体" w:cs="宋体"/>
          <w:color w:val="auto"/>
          <w:highlight w:val="none"/>
        </w:rPr>
        <w:t>，时间不得少于</w:t>
      </w:r>
      <w:r>
        <w:rPr>
          <w:rFonts w:ascii="宋体" w:hAnsi="宋体" w:cs="宋体"/>
          <w:color w:val="auto"/>
          <w:highlight w:val="none"/>
        </w:rPr>
        <w:t>3</w:t>
      </w:r>
      <w:r>
        <w:rPr>
          <w:rFonts w:hint="eastAsia" w:ascii="宋体" w:hAnsi="宋体" w:cs="宋体"/>
          <w:color w:val="auto"/>
          <w:highlight w:val="none"/>
        </w:rPr>
        <w:t>个工作日。</w:t>
      </w:r>
    </w:p>
    <w:p>
      <w:pPr>
        <w:spacing w:line="360" w:lineRule="exact"/>
        <w:rPr>
          <w:rFonts w:ascii="宋体" w:hAnsi="宋体"/>
          <w:color w:val="auto"/>
          <w:highlight w:val="none"/>
        </w:rPr>
      </w:pPr>
      <w:r>
        <w:rPr>
          <w:rFonts w:ascii="宋体" w:hAnsi="宋体"/>
          <w:color w:val="auto"/>
          <w:highlight w:val="none"/>
        </w:rPr>
        <w:t>7.3</w:t>
      </w:r>
      <w:r>
        <w:rPr>
          <w:rFonts w:hint="eastAsia" w:ascii="宋体" w:hAnsi="宋体" w:cs="宋体"/>
          <w:color w:val="auto"/>
          <w:highlight w:val="none"/>
        </w:rPr>
        <w:t>中标公示结束且无异议的，招标人按相关规定以书面形式向中标人发出中标通知书。</w:t>
      </w:r>
    </w:p>
    <w:p>
      <w:pPr>
        <w:spacing w:line="360" w:lineRule="exact"/>
        <w:rPr>
          <w:rFonts w:ascii="宋体" w:hAnsi="宋体"/>
          <w:color w:val="auto"/>
          <w:highlight w:val="none"/>
        </w:rPr>
      </w:pPr>
      <w:r>
        <w:rPr>
          <w:rFonts w:ascii="宋体" w:hAnsi="宋体"/>
          <w:color w:val="auto"/>
          <w:highlight w:val="none"/>
        </w:rPr>
        <w:t>7.4</w:t>
      </w:r>
      <w:r>
        <w:rPr>
          <w:rFonts w:hint="eastAsia" w:ascii="宋体" w:hAnsi="宋体" w:cs="宋体"/>
          <w:color w:val="auto"/>
          <w:highlight w:val="none"/>
        </w:rPr>
        <w:t>中标公示期间，投标人对评标结果有异议的，招标人将在有关部门调查核实后的七天内，组织原评标委员会复审，复审结果影响中标候选人结果的，将重新公示；但当第一中标候选人被质疑、投诉或在复审等过程中发现存在资质、资格、业绩等有弄虚作假行为，应取消其投标资格的，招标人将在有关部门调查核实后的七天内，由原评标委员会重新组织评审，商务标评审中的基准浮动率重新抽取。</w:t>
      </w:r>
    </w:p>
    <w:p>
      <w:pPr>
        <w:spacing w:line="360" w:lineRule="exact"/>
        <w:outlineLvl w:val="0"/>
        <w:rPr>
          <w:rFonts w:ascii="宋体" w:hAnsi="宋体"/>
          <w:color w:val="auto"/>
          <w:highlight w:val="none"/>
        </w:rPr>
      </w:pPr>
      <w:r>
        <w:rPr>
          <w:rFonts w:ascii="宋体" w:hAnsi="宋体"/>
          <w:color w:val="auto"/>
          <w:highlight w:val="none"/>
        </w:rPr>
        <w:t xml:space="preserve">7.5 </w:t>
      </w:r>
      <w:r>
        <w:rPr>
          <w:rFonts w:hint="eastAsia" w:ascii="宋体" w:hAnsi="宋体" w:cs="宋体"/>
          <w:color w:val="auto"/>
          <w:highlight w:val="none"/>
        </w:rPr>
        <w:t>签订合同</w:t>
      </w:r>
    </w:p>
    <w:p>
      <w:pPr>
        <w:spacing w:line="360" w:lineRule="exact"/>
        <w:rPr>
          <w:rFonts w:ascii="宋体" w:hAnsi="宋体"/>
          <w:color w:val="auto"/>
          <w:highlight w:val="none"/>
        </w:rPr>
      </w:pPr>
      <w:r>
        <w:rPr>
          <w:rFonts w:ascii="宋体" w:hAnsi="宋体"/>
          <w:color w:val="auto"/>
          <w:highlight w:val="none"/>
        </w:rPr>
        <w:t>7.5.</w:t>
      </w:r>
      <w:r>
        <w:rPr>
          <w:rFonts w:hint="eastAsia" w:ascii="宋体" w:hAnsi="宋体"/>
          <w:color w:val="auto"/>
          <w:highlight w:val="none"/>
        </w:rPr>
        <w:t>1</w:t>
      </w:r>
      <w:r>
        <w:rPr>
          <w:rFonts w:hint="eastAsia" w:ascii="宋体" w:hAnsi="宋体" w:cs="宋体"/>
          <w:color w:val="auto"/>
          <w:highlight w:val="none"/>
        </w:rPr>
        <w:t>发出中标通知书后，招标人无正当理由拒签合同的，招标人向中标人退还投标保证金；给中标人造成损失的，还应当赔偿损失。</w:t>
      </w:r>
    </w:p>
    <w:p>
      <w:pPr>
        <w:spacing w:line="360" w:lineRule="exact"/>
        <w:rPr>
          <w:rFonts w:ascii="宋体" w:hAnsi="宋体" w:cs="宋体"/>
          <w:color w:val="auto"/>
          <w:highlight w:val="none"/>
        </w:rPr>
      </w:pPr>
      <w:r>
        <w:rPr>
          <w:rFonts w:hint="eastAsia" w:ascii="宋体" w:hAnsi="宋体" w:cs="宋体"/>
          <w:color w:val="auto"/>
          <w:highlight w:val="none"/>
        </w:rPr>
        <w:t>7.5.2</w:t>
      </w:r>
      <w:r>
        <w:rPr>
          <w:rFonts w:hint="eastAsia" w:ascii="宋体" w:hAnsi="宋体" w:cs="宋体"/>
          <w:b/>
          <w:color w:val="auto"/>
          <w:highlight w:val="none"/>
        </w:rPr>
        <w:t>本项目履约保证金为合同价的2%（银行汇票或银行转账支票），履约保证金在中标通知书发出之日起30天内缴纳，待履行合同完毕且工程竣工验收合格后1个月内予以退还（不计息）。</w:t>
      </w:r>
    </w:p>
    <w:p>
      <w:pPr>
        <w:spacing w:line="360" w:lineRule="exact"/>
        <w:rPr>
          <w:rFonts w:ascii="宋体" w:hAnsi="宋体"/>
          <w:color w:val="auto"/>
          <w:highlight w:val="none"/>
        </w:rPr>
      </w:pPr>
      <w:r>
        <w:rPr>
          <w:rFonts w:ascii="宋体" w:hAnsi="宋体"/>
          <w:color w:val="auto"/>
          <w:highlight w:val="none"/>
        </w:rPr>
        <w:t>7.5.</w:t>
      </w:r>
      <w:r>
        <w:rPr>
          <w:rFonts w:hint="eastAsia" w:ascii="宋体" w:hAnsi="宋体"/>
          <w:color w:val="auto"/>
          <w:highlight w:val="none"/>
        </w:rPr>
        <w:t>3</w:t>
      </w:r>
      <w:r>
        <w:rPr>
          <w:rFonts w:hint="eastAsia" w:ascii="宋体" w:hAnsi="宋体" w:cs="宋体"/>
          <w:color w:val="auto"/>
          <w:highlight w:val="none"/>
        </w:rPr>
        <w:t>招标人和中标人应当自中标通知书发出之日起</w:t>
      </w:r>
      <w:r>
        <w:rPr>
          <w:rFonts w:ascii="宋体" w:hAnsi="宋体"/>
          <w:color w:val="auto"/>
          <w:highlight w:val="none"/>
        </w:rPr>
        <w:t xml:space="preserve"> 30 </w:t>
      </w:r>
      <w:r>
        <w:rPr>
          <w:rFonts w:hint="eastAsia" w:ascii="宋体" w:hAnsi="宋体" w:cs="宋体"/>
          <w:color w:val="auto"/>
          <w:highlight w:val="none"/>
        </w:rPr>
        <w:t>天内，根据招标文件和中标人的投标文件订立书面合同。中标人无正当理由拒签合同的，招标人取消其中标资格，其投标保证金不予退还；给招标人造成的损失超过投标保证金数额的，中标人还应当对超过部分予以赔偿。</w:t>
      </w:r>
    </w:p>
    <w:p>
      <w:pPr>
        <w:spacing w:line="360" w:lineRule="exact"/>
        <w:rPr>
          <w:rFonts w:ascii="宋体" w:hAnsi="宋体" w:cs="宋体"/>
          <w:b/>
          <w:color w:val="auto"/>
          <w:highlight w:val="none"/>
          <w:u w:val="single"/>
        </w:rPr>
      </w:pPr>
      <w:r>
        <w:rPr>
          <w:rFonts w:ascii="宋体" w:hAnsi="宋体"/>
          <w:color w:val="auto"/>
          <w:highlight w:val="none"/>
        </w:rPr>
        <w:t>7.5.3</w:t>
      </w:r>
      <w:r>
        <w:rPr>
          <w:rFonts w:hint="eastAsia" w:ascii="宋体" w:hAnsi="宋体" w:cs="宋体"/>
          <w:color w:val="auto"/>
          <w:highlight w:val="none"/>
        </w:rPr>
        <w:t>合同形式：</w:t>
      </w:r>
      <w:r>
        <w:rPr>
          <w:rFonts w:hint="eastAsia" w:ascii="宋体" w:hAnsi="宋体" w:cs="宋体"/>
          <w:b/>
          <w:color w:val="auto"/>
          <w:highlight w:val="none"/>
          <w:u w:val="single"/>
        </w:rPr>
        <w:t>固定费率（浮动率）合同。</w:t>
      </w:r>
    </w:p>
    <w:p>
      <w:pPr>
        <w:spacing w:line="360" w:lineRule="exact"/>
        <w:rPr>
          <w:rFonts w:ascii="宋体" w:hAnsi="宋体" w:cs="宋体"/>
          <w:b/>
          <w:color w:val="auto"/>
          <w:highlight w:val="none"/>
          <w:u w:val="single"/>
        </w:rPr>
      </w:pPr>
      <w:r>
        <w:rPr>
          <w:rFonts w:ascii="宋体" w:hAnsi="宋体"/>
          <w:color w:val="auto"/>
          <w:highlight w:val="none"/>
        </w:rPr>
        <w:t>7.5.4</w:t>
      </w:r>
      <w:r>
        <w:rPr>
          <w:rFonts w:hint="eastAsia" w:ascii="宋体" w:hAnsi="宋体" w:cs="宋体"/>
          <w:color w:val="auto"/>
          <w:highlight w:val="none"/>
        </w:rPr>
        <w:t>合同价款：</w:t>
      </w:r>
      <w:r>
        <w:rPr>
          <w:rFonts w:hint="eastAsia" w:ascii="宋体" w:hAnsi="宋体" w:cs="宋体"/>
          <w:b/>
          <w:color w:val="auto"/>
          <w:highlight w:val="none"/>
          <w:u w:val="single"/>
        </w:rPr>
        <w:t>按招标文件约定的服务费收费标准和中标浮动率结算。</w:t>
      </w:r>
    </w:p>
    <w:p>
      <w:pPr>
        <w:spacing w:line="360" w:lineRule="exact"/>
        <w:rPr>
          <w:rFonts w:ascii="宋体" w:hAnsi="宋体" w:cs="宋体"/>
          <w:color w:val="auto"/>
          <w:highlight w:val="none"/>
        </w:rPr>
      </w:pPr>
      <w:r>
        <w:rPr>
          <w:rFonts w:ascii="宋体" w:hAnsi="宋体"/>
          <w:color w:val="auto"/>
          <w:highlight w:val="none"/>
        </w:rPr>
        <w:t>7.5.5</w:t>
      </w:r>
      <w:r>
        <w:rPr>
          <w:rFonts w:hint="eastAsia" w:ascii="宋体" w:hAnsi="宋体" w:cs="宋体"/>
          <w:color w:val="auto"/>
          <w:highlight w:val="none"/>
        </w:rPr>
        <w:t>付款方式:每一标段的招标代理工作完成并提交所有招标资料后，工程招标代理费一次性付清；清单计价法工程量清单及预算、招标控制价的编制费在施工单位中标后三个月内对标底复核无异议后支付至标底编制费合同价的60%，工程竣工验收合格后支付至标底编制费合同价的90%，工程结算经审计后（甲方委托的造价咨询机构出具的并经乙方审核同意后的审计结果）后支付至标底编制费合同价的100%。</w:t>
      </w:r>
    </w:p>
    <w:p>
      <w:pPr>
        <w:spacing w:line="460" w:lineRule="exact"/>
        <w:ind w:firstLine="517" w:firstLineChars="245"/>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其他约定：</w:t>
      </w:r>
    </w:p>
    <w:p>
      <w:pPr>
        <w:widowControl/>
        <w:spacing w:line="360" w:lineRule="exact"/>
        <w:jc w:val="left"/>
        <w:rPr>
          <w:rFonts w:ascii="宋体" w:hAnsi="宋体" w:eastAsia="宋体" w:cs="宋体"/>
          <w:b/>
          <w:bCs/>
          <w:color w:val="auto"/>
          <w:kern w:val="0"/>
          <w:szCs w:val="21"/>
          <w:highlight w:val="none"/>
          <w:u w:val="single"/>
        </w:rPr>
      </w:pPr>
      <w:r>
        <w:rPr>
          <w:rFonts w:hint="eastAsia" w:ascii="宋体" w:hAnsi="宋体" w:eastAsia="宋体" w:cs="宋体"/>
          <w:b/>
          <w:bCs/>
          <w:color w:val="auto"/>
          <w:kern w:val="0"/>
          <w:szCs w:val="21"/>
          <w:highlight w:val="none"/>
          <w:u w:val="single"/>
        </w:rPr>
        <w:t>（1）服务费包括招标代理以及工程量清单编制、招标控制价（参考标底）编制及招标过程中的专家费和招标文件制作等支出费用，不包括公证费、审标费、交易服务费。监理</w:t>
      </w:r>
      <w:r>
        <w:rPr>
          <w:rFonts w:hint="eastAsia" w:ascii="宋体" w:hAnsi="宋体" w:eastAsia="宋体" w:cs="宋体"/>
          <w:b/>
          <w:bCs/>
          <w:color w:val="auto"/>
          <w:kern w:val="0"/>
          <w:szCs w:val="21"/>
          <w:highlight w:val="none"/>
          <w:u w:val="single"/>
          <w:lang w:eastAsia="zh-CN"/>
        </w:rPr>
        <w:t>、</w:t>
      </w:r>
      <w:r>
        <w:rPr>
          <w:rFonts w:hint="eastAsia" w:ascii="宋体" w:hAnsi="宋体" w:eastAsia="宋体" w:cs="宋体"/>
          <w:b/>
          <w:bCs/>
          <w:color w:val="auto"/>
          <w:kern w:val="0"/>
          <w:szCs w:val="21"/>
          <w:highlight w:val="none"/>
          <w:u w:val="single"/>
          <w:lang w:val="en-US" w:eastAsia="zh-CN"/>
        </w:rPr>
        <w:t>标底审核、施工阶段全过程造价咨询</w:t>
      </w:r>
      <w:r>
        <w:rPr>
          <w:rFonts w:hint="eastAsia" w:ascii="宋体" w:hAnsi="宋体" w:eastAsia="宋体" w:cs="宋体"/>
          <w:b/>
          <w:bCs/>
          <w:color w:val="auto"/>
          <w:kern w:val="0"/>
          <w:szCs w:val="21"/>
          <w:highlight w:val="none"/>
          <w:u w:val="single"/>
        </w:rPr>
        <w:t>等（如需进场招标）招标代理费用不再单独另行计取，设备及大宗材料等采购及与本工程相关全部需招标项目的招标代理费用不再单独另行计取。若项目招标失败，需要重新招标的，不再追加中介服务费。</w:t>
      </w:r>
    </w:p>
    <w:p>
      <w:pPr>
        <w:widowControl/>
        <w:spacing w:line="400" w:lineRule="exact"/>
        <w:rPr>
          <w:rFonts w:ascii="Times New Roman" w:hAnsi="Times New Roman" w:eastAsia="宋体" w:cs="Times New Roman"/>
          <w:color w:val="auto"/>
          <w:szCs w:val="21"/>
          <w:highlight w:val="none"/>
        </w:rPr>
      </w:pPr>
      <w:r>
        <w:rPr>
          <w:rFonts w:hint="eastAsia" w:ascii="宋体" w:hAnsi="宋体" w:eastAsia="宋体" w:cs="宋体"/>
          <w:b/>
          <w:bCs/>
          <w:color w:val="auto"/>
          <w:kern w:val="0"/>
          <w:szCs w:val="21"/>
          <w:highlight w:val="none"/>
          <w:u w:val="single"/>
        </w:rPr>
        <w:t>（2）</w:t>
      </w:r>
      <w:r>
        <w:rPr>
          <w:rFonts w:hint="eastAsia" w:ascii="宋体" w:hAnsi="宋体"/>
          <w:b/>
          <w:bCs/>
          <w:color w:val="auto"/>
          <w:spacing w:val="-5"/>
          <w:highlight w:val="none"/>
          <w:u w:val="single"/>
        </w:rPr>
        <w:t>本次招标所产生的</w:t>
      </w:r>
      <w:r>
        <w:rPr>
          <w:rFonts w:hint="eastAsia" w:ascii="宋体" w:hAnsi="宋体"/>
          <w:b/>
          <w:bCs/>
          <w:color w:val="auto"/>
          <w:spacing w:val="-5"/>
          <w:highlight w:val="none"/>
          <w:u w:val="single"/>
          <w:lang w:eastAsia="zh-CN"/>
        </w:rPr>
        <w:t>代理费用按</w:t>
      </w:r>
      <w:r>
        <w:rPr>
          <w:rFonts w:hint="eastAsia" w:ascii="宋体" w:hAnsi="宋体"/>
          <w:b/>
          <w:bCs/>
          <w:color w:val="auto"/>
          <w:spacing w:val="-5"/>
          <w:highlight w:val="none"/>
          <w:u w:val="single"/>
          <w:lang w:val="en-US" w:eastAsia="zh-CN"/>
        </w:rPr>
        <w:t>4500元计取，</w:t>
      </w:r>
      <w:r>
        <w:rPr>
          <w:rFonts w:hint="eastAsia" w:ascii="宋体" w:hAnsi="宋体"/>
          <w:b/>
          <w:bCs/>
          <w:color w:val="auto"/>
          <w:spacing w:val="-5"/>
          <w:highlight w:val="none"/>
          <w:u w:val="single"/>
        </w:rPr>
        <w:t>专家费和评标期间产生的相关费用（包括餐费）</w:t>
      </w:r>
      <w:r>
        <w:rPr>
          <w:rFonts w:hint="eastAsia" w:ascii="宋体" w:hAnsi="宋体"/>
          <w:b/>
          <w:bCs/>
          <w:color w:val="auto"/>
          <w:spacing w:val="-5"/>
          <w:highlight w:val="none"/>
          <w:u w:val="single"/>
          <w:lang w:eastAsia="zh-CN"/>
        </w:rPr>
        <w:t>按实结算，上述所有费用由被委托项目招标产生的中标人承担</w:t>
      </w:r>
      <w:r>
        <w:rPr>
          <w:rFonts w:hint="eastAsia" w:ascii="宋体" w:hAnsi="宋体" w:cs="Arial"/>
          <w:b/>
          <w:bCs/>
          <w:color w:val="auto"/>
          <w:kern w:val="0"/>
          <w:highlight w:val="none"/>
          <w:u w:val="single"/>
          <w:lang w:eastAsia="zh-CN"/>
        </w:rPr>
        <w:t>，</w:t>
      </w:r>
      <w:r>
        <w:rPr>
          <w:rFonts w:hint="eastAsia" w:ascii="宋体" w:hAnsi="宋体" w:eastAsia="宋体" w:cs="Arial"/>
          <w:b/>
          <w:bCs/>
          <w:color w:val="auto"/>
          <w:kern w:val="0"/>
          <w:szCs w:val="21"/>
          <w:highlight w:val="none"/>
          <w:u w:val="single"/>
        </w:rPr>
        <w:t>请各投标单位报价时综合考虑。</w:t>
      </w:r>
      <w:r>
        <w:rPr>
          <w:rFonts w:hint="eastAsia" w:ascii="宋体" w:hAnsi="宋体" w:eastAsia="宋体" w:cs="Times New Roman"/>
          <w:b/>
          <w:bCs/>
          <w:color w:val="auto"/>
          <w:spacing w:val="-5"/>
          <w:szCs w:val="21"/>
          <w:highlight w:val="none"/>
          <w:u w:val="single"/>
        </w:rPr>
        <w:t>交易服务费由招标人和本次中标人按绍兴市政务服务办公室的相关通知执行，公证费由招标人承担。</w:t>
      </w:r>
    </w:p>
    <w:p>
      <w:pPr>
        <w:spacing w:line="360" w:lineRule="exact"/>
        <w:rPr>
          <w:rFonts w:ascii="宋体" w:hAnsi="宋体"/>
          <w:color w:val="auto"/>
          <w:highlight w:val="none"/>
          <w:u w:val="single"/>
        </w:rPr>
      </w:pPr>
      <w:r>
        <w:rPr>
          <w:rFonts w:ascii="宋体" w:hAnsi="宋体" w:cs="宋体"/>
          <w:color w:val="auto"/>
          <w:highlight w:val="none"/>
        </w:rPr>
        <w:t>7.5.6</w:t>
      </w:r>
      <w:r>
        <w:rPr>
          <w:rFonts w:hint="eastAsia" w:ascii="宋体" w:hAnsi="宋体" w:cs="宋体"/>
          <w:color w:val="auto"/>
          <w:highlight w:val="none"/>
        </w:rPr>
        <w:t>非因招标代理机构原因导致招标失败的或不再招标的，标底编制费应按实结算；招标代理服务费由招标人和中标人双方协商解决。</w:t>
      </w:r>
    </w:p>
    <w:p>
      <w:pPr>
        <w:spacing w:line="360" w:lineRule="exact"/>
        <w:outlineLvl w:val="0"/>
        <w:rPr>
          <w:rFonts w:ascii="宋体" w:hAnsi="宋体"/>
          <w:color w:val="auto"/>
          <w:highlight w:val="none"/>
        </w:rPr>
      </w:pPr>
      <w:r>
        <w:rPr>
          <w:rFonts w:ascii="宋体" w:hAnsi="宋体" w:cs="宋体"/>
          <w:color w:val="auto"/>
          <w:highlight w:val="none"/>
        </w:rPr>
        <w:t>7.5.7</w:t>
      </w:r>
      <w:r>
        <w:rPr>
          <w:rFonts w:hint="eastAsia" w:ascii="宋体" w:hAnsi="宋体" w:cs="宋体"/>
          <w:color w:val="auto"/>
          <w:highlight w:val="none"/>
        </w:rPr>
        <w:t>经济处罚</w:t>
      </w:r>
    </w:p>
    <w:p>
      <w:pPr>
        <w:spacing w:line="360" w:lineRule="exact"/>
        <w:rPr>
          <w:rFonts w:ascii="宋体" w:hAnsi="宋体" w:cs="宋体"/>
          <w:b/>
          <w:bCs/>
          <w:color w:val="auto"/>
          <w:kern w:val="0"/>
          <w:highlight w:val="none"/>
          <w:u w:val="single"/>
        </w:rPr>
      </w:pPr>
      <w:r>
        <w:rPr>
          <w:rFonts w:hint="eastAsia" w:ascii="宋体" w:hAnsi="宋体" w:cs="宋体"/>
          <w:b/>
          <w:bCs/>
          <w:color w:val="auto"/>
          <w:kern w:val="0"/>
          <w:highlight w:val="none"/>
          <w:u w:val="single"/>
        </w:rPr>
        <w:t>中标人在履行合同期间未能达到第二章1.2.1.3工作要求的，分别给与以下经济处罚：</w:t>
      </w:r>
    </w:p>
    <w:p>
      <w:pPr>
        <w:numPr>
          <w:ilvl w:val="0"/>
          <w:numId w:val="3"/>
        </w:numPr>
        <w:spacing w:line="360" w:lineRule="exact"/>
        <w:rPr>
          <w:rFonts w:ascii="宋体" w:hAnsi="宋体" w:cs="宋体"/>
          <w:color w:val="auto"/>
          <w:highlight w:val="none"/>
          <w:u w:val="single"/>
        </w:rPr>
      </w:pPr>
      <w:r>
        <w:rPr>
          <w:rFonts w:hint="eastAsia" w:ascii="宋体" w:hAnsi="宋体" w:cs="宋体"/>
          <w:color w:val="auto"/>
          <w:highlight w:val="none"/>
          <w:u w:val="single"/>
        </w:rPr>
        <w:t>对委派项目负责人和中介服务人员未经业主书面同意不得擅自调动，如擅自调动，</w:t>
      </w:r>
      <w:r>
        <w:rPr>
          <w:rFonts w:hint="eastAsia" w:ascii="宋体" w:hAnsi="宋体" w:cs="宋体"/>
          <w:color w:val="auto"/>
          <w:highlight w:val="none"/>
          <w:u w:val="single"/>
          <w:lang w:val="en-US" w:eastAsia="zh-CN"/>
        </w:rPr>
        <w:t>需支付违约金</w:t>
      </w:r>
      <w:r>
        <w:rPr>
          <w:rFonts w:hint="eastAsia" w:ascii="宋体" w:hAnsi="宋体" w:cs="宋体"/>
          <w:color w:val="auto"/>
          <w:highlight w:val="none"/>
          <w:u w:val="single"/>
        </w:rPr>
        <w:t>20000元；</w:t>
      </w:r>
    </w:p>
    <w:p>
      <w:pPr>
        <w:spacing w:line="360" w:lineRule="exact"/>
        <w:rPr>
          <w:rFonts w:ascii="宋体" w:hAnsi="宋体" w:cs="宋体"/>
          <w:color w:val="auto"/>
          <w:highlight w:val="none"/>
          <w:u w:val="single"/>
        </w:rPr>
      </w:pPr>
      <w:r>
        <w:rPr>
          <w:rFonts w:hint="eastAsia" w:ascii="宋体" w:hAnsi="宋体" w:cs="宋体"/>
          <w:color w:val="auto"/>
          <w:highlight w:val="none"/>
          <w:u w:val="single"/>
        </w:rPr>
        <w:t>（2）编制的招标公告、招标文件等招标资料中出现若干前后矛盾，出现明显错误等情况，且因以上原因须出具补充公告、答疑纪要的，每发生一次，</w:t>
      </w:r>
      <w:r>
        <w:rPr>
          <w:rFonts w:hint="eastAsia" w:ascii="宋体" w:hAnsi="宋体" w:cs="宋体"/>
          <w:color w:val="auto"/>
          <w:highlight w:val="none"/>
          <w:u w:val="single"/>
          <w:lang w:val="en-US" w:eastAsia="zh-CN"/>
        </w:rPr>
        <w:t>需向甲方支付违约金</w:t>
      </w:r>
      <w:r>
        <w:rPr>
          <w:rFonts w:hint="eastAsia" w:ascii="宋体" w:hAnsi="宋体" w:cs="宋体"/>
          <w:color w:val="auto"/>
          <w:highlight w:val="none"/>
          <w:u w:val="single"/>
        </w:rPr>
        <w:t>2000元；引起招标争议、投诉的，每发生一次，</w:t>
      </w:r>
      <w:r>
        <w:rPr>
          <w:rFonts w:hint="eastAsia" w:ascii="宋体" w:hAnsi="宋体" w:cs="宋体"/>
          <w:color w:val="auto"/>
          <w:highlight w:val="none"/>
          <w:u w:val="single"/>
          <w:lang w:val="en-US" w:eastAsia="zh-CN"/>
        </w:rPr>
        <w:t>需向甲方支付违约金</w:t>
      </w:r>
      <w:r>
        <w:rPr>
          <w:rFonts w:hint="eastAsia" w:ascii="宋体" w:hAnsi="宋体" w:cs="宋体"/>
          <w:color w:val="auto"/>
          <w:highlight w:val="none"/>
          <w:u w:val="single"/>
        </w:rPr>
        <w:t>20000元；</w:t>
      </w:r>
    </w:p>
    <w:p>
      <w:pPr>
        <w:spacing w:line="360" w:lineRule="exact"/>
        <w:rPr>
          <w:rFonts w:ascii="宋体" w:hAnsi="宋体" w:cs="宋体"/>
          <w:color w:val="auto"/>
          <w:highlight w:val="none"/>
          <w:u w:val="single"/>
        </w:rPr>
      </w:pPr>
      <w:r>
        <w:rPr>
          <w:rFonts w:hint="eastAsia" w:ascii="宋体" w:hAnsi="宋体" w:cs="宋体"/>
          <w:color w:val="auto"/>
          <w:highlight w:val="none"/>
          <w:u w:val="single"/>
        </w:rPr>
        <w:t>（3）专职从事代理的人员业务不熟练，导致招标流程出现错误，引起开标现场混乱的。每发生一次，</w:t>
      </w:r>
      <w:r>
        <w:rPr>
          <w:rFonts w:hint="eastAsia" w:ascii="宋体" w:hAnsi="宋体" w:cs="宋体"/>
          <w:color w:val="auto"/>
          <w:highlight w:val="none"/>
          <w:u w:val="single"/>
          <w:lang w:val="en-US" w:eastAsia="zh-CN"/>
        </w:rPr>
        <w:t>需向甲方支付违约金</w:t>
      </w:r>
      <w:r>
        <w:rPr>
          <w:rFonts w:hint="eastAsia" w:ascii="宋体" w:hAnsi="宋体" w:cs="宋体"/>
          <w:color w:val="auto"/>
          <w:highlight w:val="none"/>
          <w:u w:val="single"/>
        </w:rPr>
        <w:t>2000元；</w:t>
      </w:r>
    </w:p>
    <w:p>
      <w:pPr>
        <w:spacing w:line="360" w:lineRule="exact"/>
        <w:rPr>
          <w:rFonts w:ascii="宋体" w:hAnsi="宋体" w:cs="宋体"/>
          <w:color w:val="auto"/>
          <w:highlight w:val="none"/>
          <w:u w:val="single"/>
        </w:rPr>
      </w:pPr>
      <w:r>
        <w:rPr>
          <w:rFonts w:hint="eastAsia" w:ascii="宋体" w:hAnsi="宋体" w:cs="宋体"/>
          <w:color w:val="auto"/>
          <w:highlight w:val="none"/>
          <w:u w:val="single"/>
        </w:rPr>
        <w:t>（4）代理单位没有及时响应招标人合理合规的工作，如及时沟通问题、修改招标文件、提供必要招投标资料等情况。每发生一次，</w:t>
      </w:r>
      <w:r>
        <w:rPr>
          <w:rFonts w:hint="eastAsia" w:ascii="宋体" w:hAnsi="宋体" w:cs="宋体"/>
          <w:color w:val="auto"/>
          <w:highlight w:val="none"/>
          <w:u w:val="single"/>
          <w:lang w:val="en-US" w:eastAsia="zh-CN"/>
        </w:rPr>
        <w:t>需向甲方支付违约金2000元</w:t>
      </w:r>
      <w:r>
        <w:rPr>
          <w:rFonts w:hint="eastAsia" w:ascii="宋体" w:hAnsi="宋体" w:cs="宋体"/>
          <w:color w:val="auto"/>
          <w:highlight w:val="none"/>
          <w:u w:val="single"/>
        </w:rPr>
        <w:t>，因此引起投诉的，</w:t>
      </w:r>
      <w:r>
        <w:rPr>
          <w:rFonts w:hint="eastAsia" w:ascii="宋体" w:hAnsi="宋体" w:cs="宋体"/>
          <w:color w:val="auto"/>
          <w:highlight w:val="none"/>
          <w:u w:val="single"/>
          <w:lang w:val="en-US" w:eastAsia="zh-CN"/>
        </w:rPr>
        <w:t>需向甲方支付违约金20000元</w:t>
      </w:r>
      <w:r>
        <w:rPr>
          <w:rFonts w:hint="eastAsia" w:ascii="宋体" w:hAnsi="宋体" w:cs="宋体"/>
          <w:color w:val="auto"/>
          <w:highlight w:val="none"/>
          <w:u w:val="single"/>
        </w:rPr>
        <w:t>；</w:t>
      </w:r>
    </w:p>
    <w:p>
      <w:pPr>
        <w:spacing w:line="360" w:lineRule="exact"/>
        <w:rPr>
          <w:rFonts w:ascii="宋体" w:hAnsi="宋体" w:cs="宋体"/>
          <w:color w:val="auto"/>
          <w:highlight w:val="none"/>
          <w:u w:val="single"/>
        </w:rPr>
      </w:pPr>
      <w:r>
        <w:rPr>
          <w:rFonts w:hint="eastAsia" w:ascii="宋体" w:hAnsi="宋体" w:cs="宋体"/>
          <w:color w:val="auto"/>
          <w:highlight w:val="none"/>
          <w:u w:val="single"/>
        </w:rPr>
        <w:t>（5）招标代理过程中发现问题没有及时与业主、招标办联系，导致开标时间延后或重新开标的。每发生一次，</w:t>
      </w:r>
      <w:r>
        <w:rPr>
          <w:rFonts w:hint="eastAsia" w:ascii="宋体" w:hAnsi="宋体" w:cs="宋体"/>
          <w:color w:val="auto"/>
          <w:highlight w:val="none"/>
          <w:u w:val="single"/>
          <w:lang w:val="en-US" w:eastAsia="zh-CN"/>
        </w:rPr>
        <w:t>需向甲方支付违约金</w:t>
      </w:r>
      <w:r>
        <w:rPr>
          <w:rFonts w:hint="eastAsia" w:ascii="宋体" w:hAnsi="宋体" w:cs="宋体"/>
          <w:color w:val="auto"/>
          <w:highlight w:val="none"/>
          <w:u w:val="single"/>
        </w:rPr>
        <w:t>20000元；</w:t>
      </w:r>
    </w:p>
    <w:p>
      <w:pPr>
        <w:spacing w:line="360" w:lineRule="exact"/>
        <w:rPr>
          <w:color w:val="auto"/>
          <w:highlight w:val="none"/>
        </w:rPr>
      </w:pPr>
      <w:r>
        <w:rPr>
          <w:rFonts w:hint="eastAsia" w:ascii="宋体" w:hAnsi="宋体" w:cs="宋体"/>
          <w:color w:val="auto"/>
          <w:highlight w:val="none"/>
          <w:u w:val="single"/>
        </w:rPr>
        <w:t>（6）因代理机构原因引起投诉或重新招标的，</w:t>
      </w:r>
      <w:r>
        <w:rPr>
          <w:rFonts w:hint="eastAsia" w:ascii="宋体" w:hAnsi="宋体" w:cs="宋体"/>
          <w:color w:val="auto"/>
          <w:highlight w:val="none"/>
          <w:u w:val="single"/>
          <w:lang w:val="en-US" w:eastAsia="zh-CN"/>
        </w:rPr>
        <w:t>需向甲方支付违约金</w:t>
      </w:r>
      <w:r>
        <w:rPr>
          <w:rFonts w:hint="eastAsia" w:ascii="宋体" w:hAnsi="宋体" w:cs="宋体"/>
          <w:color w:val="auto"/>
          <w:highlight w:val="none"/>
          <w:u w:val="single"/>
        </w:rPr>
        <w:t>50000元，且不退还履约保证金。</w:t>
      </w:r>
    </w:p>
    <w:p>
      <w:pPr>
        <w:spacing w:line="360" w:lineRule="exact"/>
        <w:rPr>
          <w:rFonts w:ascii="宋体" w:hAnsi="宋体" w:cs="宋体"/>
          <w:color w:val="auto"/>
          <w:highlight w:val="none"/>
          <w:u w:val="single"/>
        </w:rPr>
      </w:pPr>
      <w:r>
        <w:rPr>
          <w:rFonts w:hint="eastAsia" w:ascii="宋体" w:hAnsi="宋体" w:cs="宋体"/>
          <w:color w:val="auto"/>
          <w:highlight w:val="none"/>
          <w:u w:val="single"/>
        </w:rPr>
        <w:t>（7）单个标段工程标底编制时，出现明显错误、漏项或工程量计算差错、综合单价明显计算错误大于该单个标段编制总额的2%，</w:t>
      </w:r>
      <w:r>
        <w:rPr>
          <w:rFonts w:hint="eastAsia" w:ascii="宋体" w:hAnsi="宋体" w:cs="宋体"/>
          <w:color w:val="auto"/>
          <w:highlight w:val="none"/>
          <w:u w:val="single"/>
          <w:lang w:val="en-US" w:eastAsia="zh-CN"/>
        </w:rPr>
        <w:t>需向甲方支付违约金</w:t>
      </w:r>
      <w:r>
        <w:rPr>
          <w:rFonts w:hint="eastAsia" w:ascii="宋体" w:hAnsi="宋体" w:cs="宋体"/>
          <w:color w:val="auto"/>
          <w:highlight w:val="none"/>
          <w:u w:val="single"/>
        </w:rPr>
        <w:t>20000元；编制误差在2.5%以上，</w:t>
      </w:r>
      <w:r>
        <w:rPr>
          <w:rFonts w:hint="eastAsia" w:ascii="宋体" w:hAnsi="宋体" w:cs="宋体"/>
          <w:color w:val="auto"/>
          <w:highlight w:val="none"/>
          <w:u w:val="single"/>
          <w:lang w:val="en-US" w:eastAsia="zh-CN"/>
        </w:rPr>
        <w:t>需向甲方支付违约金40000元</w:t>
      </w:r>
      <w:r>
        <w:rPr>
          <w:rFonts w:hint="eastAsia" w:ascii="宋体" w:hAnsi="宋体" w:cs="宋体"/>
          <w:color w:val="auto"/>
          <w:highlight w:val="none"/>
          <w:u w:val="single"/>
        </w:rPr>
        <w:t>；编制误差超过5%的，</w:t>
      </w:r>
      <w:r>
        <w:rPr>
          <w:rFonts w:hint="eastAsia" w:ascii="宋体" w:hAnsi="宋体" w:cs="宋体"/>
          <w:color w:val="auto"/>
          <w:highlight w:val="none"/>
          <w:u w:val="single"/>
          <w:lang w:val="en-US" w:eastAsia="zh-CN"/>
        </w:rPr>
        <w:t>需向甲方支付违约金</w:t>
      </w:r>
      <w:r>
        <w:rPr>
          <w:rFonts w:hint="eastAsia" w:ascii="宋体" w:hAnsi="宋体" w:cs="宋体"/>
          <w:color w:val="auto"/>
          <w:highlight w:val="none"/>
          <w:u w:val="single"/>
        </w:rPr>
        <w:t>100000元；</w:t>
      </w:r>
    </w:p>
    <w:p>
      <w:pPr>
        <w:spacing w:line="360" w:lineRule="exact"/>
        <w:rPr>
          <w:rFonts w:ascii="宋体" w:hAnsi="宋体" w:cs="宋体"/>
          <w:color w:val="auto"/>
          <w:highlight w:val="none"/>
          <w:u w:val="single"/>
        </w:rPr>
      </w:pPr>
      <w:r>
        <w:rPr>
          <w:rFonts w:hint="eastAsia" w:ascii="宋体" w:hAnsi="宋体" w:cs="宋体"/>
          <w:color w:val="auto"/>
          <w:highlight w:val="none"/>
          <w:u w:val="single"/>
        </w:rPr>
        <w:t>（8）单个标段工程标底编制时，单项造价差错超过10万元的，每一项</w:t>
      </w:r>
      <w:r>
        <w:rPr>
          <w:rFonts w:hint="eastAsia" w:ascii="宋体" w:hAnsi="宋体" w:cs="宋体"/>
          <w:color w:val="auto"/>
          <w:highlight w:val="none"/>
          <w:u w:val="single"/>
          <w:lang w:val="en-US" w:eastAsia="zh-CN"/>
        </w:rPr>
        <w:t>需向甲方支付违约金</w:t>
      </w:r>
      <w:r>
        <w:rPr>
          <w:rFonts w:hint="eastAsia" w:ascii="宋体" w:hAnsi="宋体" w:cs="宋体"/>
          <w:color w:val="auto"/>
          <w:highlight w:val="none"/>
          <w:u w:val="single"/>
        </w:rPr>
        <w:t>5000元；超过20万元的，每一项</w:t>
      </w:r>
      <w:r>
        <w:rPr>
          <w:rFonts w:hint="eastAsia" w:ascii="宋体" w:hAnsi="宋体" w:cs="宋体"/>
          <w:color w:val="auto"/>
          <w:highlight w:val="none"/>
          <w:u w:val="single"/>
          <w:lang w:val="en-US" w:eastAsia="zh-CN"/>
        </w:rPr>
        <w:t>需向甲方支付违约金</w:t>
      </w:r>
      <w:r>
        <w:rPr>
          <w:rFonts w:hint="eastAsia" w:ascii="宋体" w:hAnsi="宋体" w:cs="宋体"/>
          <w:color w:val="auto"/>
          <w:highlight w:val="none"/>
          <w:u w:val="single"/>
        </w:rPr>
        <w:t>10000元；超过50万的，每一项</w:t>
      </w:r>
      <w:r>
        <w:rPr>
          <w:rFonts w:hint="eastAsia" w:ascii="宋体" w:hAnsi="宋体" w:cs="宋体"/>
          <w:color w:val="auto"/>
          <w:highlight w:val="none"/>
          <w:u w:val="single"/>
          <w:lang w:val="en-US" w:eastAsia="zh-CN"/>
        </w:rPr>
        <w:t>需向甲方支付违约金</w:t>
      </w:r>
      <w:r>
        <w:rPr>
          <w:rFonts w:hint="eastAsia" w:ascii="宋体" w:hAnsi="宋体" w:cs="宋体"/>
          <w:color w:val="auto"/>
          <w:highlight w:val="none"/>
          <w:u w:val="single"/>
        </w:rPr>
        <w:t>20000元；超过100万的，每一项</w:t>
      </w:r>
      <w:r>
        <w:rPr>
          <w:rFonts w:hint="eastAsia" w:ascii="宋体" w:hAnsi="宋体" w:cs="宋体"/>
          <w:color w:val="auto"/>
          <w:highlight w:val="none"/>
          <w:u w:val="single"/>
          <w:lang w:val="en-US" w:eastAsia="zh-CN"/>
        </w:rPr>
        <w:t>需向甲方支付违约金</w:t>
      </w:r>
      <w:r>
        <w:rPr>
          <w:rFonts w:hint="eastAsia" w:ascii="宋体" w:hAnsi="宋体" w:cs="宋体"/>
          <w:color w:val="auto"/>
          <w:highlight w:val="none"/>
          <w:u w:val="single"/>
        </w:rPr>
        <w:t>50000元；</w:t>
      </w:r>
    </w:p>
    <w:p>
      <w:pPr>
        <w:spacing w:line="360" w:lineRule="exact"/>
        <w:rPr>
          <w:rFonts w:ascii="宋体" w:hAnsi="宋体" w:cs="宋体"/>
          <w:color w:val="auto"/>
          <w:highlight w:val="none"/>
          <w:u w:val="single"/>
        </w:rPr>
      </w:pPr>
      <w:r>
        <w:rPr>
          <w:rFonts w:hint="eastAsia" w:ascii="宋体" w:hAnsi="宋体" w:cs="宋体"/>
          <w:color w:val="auto"/>
          <w:highlight w:val="none"/>
          <w:u w:val="single"/>
        </w:rPr>
        <w:t>（9）工程标底材料定价与市场实际价差距较大（差额绝对值大于10%）的，每发生一项，</w:t>
      </w:r>
      <w:r>
        <w:rPr>
          <w:rFonts w:hint="eastAsia" w:ascii="宋体" w:hAnsi="宋体" w:cs="宋体"/>
          <w:color w:val="auto"/>
          <w:highlight w:val="none"/>
          <w:u w:val="single"/>
          <w:lang w:val="en-US" w:eastAsia="zh-CN"/>
        </w:rPr>
        <w:t>需向甲方支付违约金</w:t>
      </w:r>
      <w:r>
        <w:rPr>
          <w:rFonts w:hint="eastAsia" w:ascii="宋体" w:hAnsi="宋体" w:cs="宋体"/>
          <w:color w:val="auto"/>
          <w:highlight w:val="none"/>
          <w:u w:val="single"/>
        </w:rPr>
        <w:t>2000元。</w:t>
      </w:r>
    </w:p>
    <w:p>
      <w:pPr>
        <w:spacing w:line="360" w:lineRule="exact"/>
        <w:rPr>
          <w:rFonts w:ascii="宋体" w:hAnsi="宋体"/>
          <w:b/>
          <w:bCs/>
          <w:color w:val="auto"/>
          <w:szCs w:val="28"/>
          <w:highlight w:val="none"/>
          <w:u w:val="single"/>
        </w:rPr>
      </w:pPr>
      <w:r>
        <w:rPr>
          <w:rFonts w:hint="eastAsia" w:ascii="宋体" w:hAnsi="宋体" w:cs="宋体"/>
          <w:color w:val="auto"/>
          <w:highlight w:val="none"/>
          <w:u w:val="single"/>
        </w:rPr>
        <w:t>（10）提交标底时未能提供完整的工程量计算稿及各项经济指标、含量等数据分析表的，</w:t>
      </w:r>
      <w:r>
        <w:rPr>
          <w:rFonts w:hint="eastAsia" w:ascii="宋体" w:hAnsi="宋体" w:cs="宋体"/>
          <w:color w:val="auto"/>
          <w:highlight w:val="none"/>
          <w:u w:val="single"/>
          <w:lang w:val="en-US" w:eastAsia="zh-CN"/>
        </w:rPr>
        <w:t>需向甲方支付违约金</w:t>
      </w:r>
      <w:r>
        <w:rPr>
          <w:rFonts w:hint="eastAsia" w:ascii="宋体" w:hAnsi="宋体" w:cs="宋体"/>
          <w:color w:val="auto"/>
          <w:highlight w:val="none"/>
          <w:u w:val="single"/>
        </w:rPr>
        <w:t>10000元。</w:t>
      </w:r>
    </w:p>
    <w:p>
      <w:pPr>
        <w:spacing w:line="360" w:lineRule="exact"/>
        <w:rPr>
          <w:rFonts w:ascii="宋体" w:hAnsi="宋体"/>
          <w:color w:val="auto"/>
          <w:highlight w:val="none"/>
        </w:rPr>
      </w:pPr>
      <w:r>
        <w:rPr>
          <w:rFonts w:hint="eastAsia" w:ascii="宋体" w:hAnsi="宋体"/>
          <w:color w:val="auto"/>
          <w:highlight w:val="none"/>
        </w:rPr>
        <w:t>7.5.8争议解决的方式：合同在履行过程中发生争议，委托人与咨询人应及时协商解决；如未能达成一致，可提交有关主管部门调解；协商或调解不成的，依法向项目所在地人民法院起诉。</w:t>
      </w:r>
    </w:p>
    <w:p>
      <w:pPr>
        <w:spacing w:line="360" w:lineRule="exact"/>
        <w:rPr>
          <w:rFonts w:ascii="宋体" w:hAnsi="宋体"/>
          <w:color w:val="auto"/>
          <w:highlight w:val="none"/>
        </w:rPr>
      </w:pPr>
      <w:r>
        <w:rPr>
          <w:rFonts w:ascii="宋体" w:hAnsi="宋体"/>
          <w:color w:val="auto"/>
          <w:highlight w:val="none"/>
        </w:rPr>
        <w:t>8</w:t>
      </w:r>
      <w:r>
        <w:rPr>
          <w:rFonts w:hint="eastAsia" w:ascii="宋体" w:hAnsi="宋体" w:cs="宋体"/>
          <w:color w:val="auto"/>
          <w:highlight w:val="none"/>
        </w:rPr>
        <w:t>有下列情形之一的，招标人将重新招标：</w:t>
      </w:r>
    </w:p>
    <w:p>
      <w:pPr>
        <w:spacing w:line="360" w:lineRule="exact"/>
        <w:outlineLvl w:val="0"/>
        <w:rPr>
          <w:rFonts w:ascii="宋体" w:hAnsi="宋体"/>
          <w:color w:val="auto"/>
          <w:highlight w:val="none"/>
        </w:rPr>
      </w:pPr>
      <w:r>
        <w:rPr>
          <w:rFonts w:hint="eastAsia" w:ascii="宋体" w:hAnsi="宋体" w:cs="宋体"/>
          <w:color w:val="auto"/>
          <w:highlight w:val="none"/>
        </w:rPr>
        <w:t>（</w:t>
      </w:r>
      <w:r>
        <w:rPr>
          <w:rFonts w:ascii="宋体" w:hAnsi="宋体"/>
          <w:color w:val="auto"/>
          <w:highlight w:val="none"/>
        </w:rPr>
        <w:t>1</w:t>
      </w:r>
      <w:r>
        <w:rPr>
          <w:rFonts w:hint="eastAsia" w:ascii="宋体" w:hAnsi="宋体" w:cs="宋体"/>
          <w:color w:val="auto"/>
          <w:highlight w:val="none"/>
        </w:rPr>
        <w:t>）投标截止时间止，投标人少于</w:t>
      </w:r>
      <w:r>
        <w:rPr>
          <w:rFonts w:ascii="宋体" w:hAnsi="宋体"/>
          <w:color w:val="auto"/>
          <w:highlight w:val="none"/>
        </w:rPr>
        <w:t xml:space="preserve"> 3 </w:t>
      </w:r>
      <w:r>
        <w:rPr>
          <w:rFonts w:hint="eastAsia" w:ascii="宋体" w:hAnsi="宋体" w:cs="宋体"/>
          <w:color w:val="auto"/>
          <w:highlight w:val="none"/>
        </w:rPr>
        <w:t>个的；</w:t>
      </w:r>
    </w:p>
    <w:p>
      <w:pPr>
        <w:spacing w:line="360" w:lineRule="exact"/>
        <w:rPr>
          <w:rFonts w:ascii="宋体" w:hAnsi="宋体"/>
          <w:color w:val="auto"/>
          <w:highlight w:val="none"/>
        </w:rPr>
      </w:pPr>
      <w:r>
        <w:rPr>
          <w:rFonts w:hint="eastAsia" w:ascii="宋体" w:hAnsi="宋体" w:cs="宋体"/>
          <w:color w:val="auto"/>
          <w:highlight w:val="none"/>
        </w:rPr>
        <w:t>（</w:t>
      </w:r>
      <w:r>
        <w:rPr>
          <w:rFonts w:ascii="宋体" w:hAnsi="宋体"/>
          <w:color w:val="auto"/>
          <w:highlight w:val="none"/>
        </w:rPr>
        <w:t>2</w:t>
      </w:r>
      <w:r>
        <w:rPr>
          <w:rFonts w:hint="eastAsia" w:ascii="宋体" w:hAnsi="宋体" w:cs="宋体"/>
          <w:color w:val="auto"/>
          <w:highlight w:val="none"/>
        </w:rPr>
        <w:t>）经评标委员会评审后否决所有投标的或有效标少于</w:t>
      </w:r>
      <w:r>
        <w:rPr>
          <w:rFonts w:ascii="宋体" w:hAnsi="宋体"/>
          <w:color w:val="auto"/>
          <w:highlight w:val="none"/>
        </w:rPr>
        <w:t xml:space="preserve"> 3 </w:t>
      </w:r>
      <w:r>
        <w:rPr>
          <w:rFonts w:hint="eastAsia" w:ascii="宋体" w:hAnsi="宋体" w:cs="宋体"/>
          <w:color w:val="auto"/>
          <w:highlight w:val="none"/>
        </w:rPr>
        <w:t>个的。</w:t>
      </w:r>
    </w:p>
    <w:p>
      <w:pPr>
        <w:spacing w:line="360" w:lineRule="exact"/>
        <w:rPr>
          <w:rFonts w:ascii="宋体" w:hAnsi="宋体" w:cs="宋体"/>
          <w:color w:val="auto"/>
          <w:highlight w:val="none"/>
        </w:rPr>
      </w:pPr>
      <w:r>
        <w:rPr>
          <w:rFonts w:ascii="宋体" w:hAnsi="宋体"/>
          <w:color w:val="auto"/>
          <w:highlight w:val="none"/>
        </w:rPr>
        <w:t>9</w:t>
      </w:r>
      <w:r>
        <w:rPr>
          <w:rFonts w:hint="eastAsia" w:ascii="宋体" w:hAnsi="宋体" w:cs="宋体"/>
          <w:color w:val="auto"/>
          <w:highlight w:val="none"/>
        </w:rPr>
        <w:t>本项目委托</w:t>
      </w:r>
      <w:r>
        <w:rPr>
          <w:rFonts w:hint="eastAsia" w:ascii="宋体" w:hAnsi="宋体"/>
          <w:b/>
          <w:bCs/>
          <w:color w:val="auto"/>
          <w:highlight w:val="none"/>
          <w:u w:val="single"/>
        </w:rPr>
        <w:t>国信公证处</w:t>
      </w:r>
      <w:r>
        <w:rPr>
          <w:rFonts w:hint="eastAsia" w:ascii="宋体" w:hAnsi="宋体" w:cs="宋体"/>
          <w:color w:val="auto"/>
          <w:highlight w:val="none"/>
        </w:rPr>
        <w:t>进行公证，</w:t>
      </w:r>
      <w:r>
        <w:rPr>
          <w:rFonts w:hint="eastAsia" w:ascii="宋体" w:hAnsi="宋体"/>
          <w:color w:val="auto"/>
          <w:highlight w:val="none"/>
        </w:rPr>
        <w:t>邀请</w:t>
      </w:r>
      <w:r>
        <w:rPr>
          <w:rFonts w:hint="eastAsia" w:ascii="宋体" w:hAnsi="宋体"/>
          <w:b/>
          <w:color w:val="auto"/>
          <w:highlight w:val="none"/>
          <w:u w:val="single"/>
        </w:rPr>
        <w:t>区公管办</w:t>
      </w:r>
      <w:r>
        <w:rPr>
          <w:rFonts w:hint="eastAsia" w:ascii="宋体" w:hAnsi="宋体"/>
          <w:color w:val="auto"/>
          <w:highlight w:val="none"/>
        </w:rPr>
        <w:t>参与监督</w:t>
      </w:r>
      <w:r>
        <w:rPr>
          <w:rFonts w:hint="eastAsia" w:ascii="宋体" w:hAnsi="宋体" w:cs="宋体"/>
          <w:color w:val="auto"/>
          <w:highlight w:val="none"/>
        </w:rPr>
        <w:t>。</w:t>
      </w:r>
    </w:p>
    <w:p>
      <w:pPr>
        <w:spacing w:line="360" w:lineRule="exact"/>
        <w:outlineLvl w:val="0"/>
        <w:rPr>
          <w:rFonts w:ascii="宋体" w:hAnsi="宋体" w:cs="宋体"/>
          <w:color w:val="auto"/>
          <w:highlight w:val="none"/>
        </w:rPr>
      </w:pPr>
      <w:r>
        <w:rPr>
          <w:rFonts w:hint="eastAsia" w:ascii="宋体" w:hAnsi="宋体" w:cs="宋体"/>
          <w:color w:val="auto"/>
          <w:highlight w:val="none"/>
        </w:rPr>
        <w:t xml:space="preserve">10 招投标电子交易平台的相关规定和操作说明  </w:t>
      </w:r>
    </w:p>
    <w:p>
      <w:pPr>
        <w:ind w:firstLine="420" w:firstLineChars="200"/>
        <w:rPr>
          <w:rFonts w:ascii="宋体" w:hAnsi="宋体" w:cs="宋体"/>
          <w:color w:val="auto"/>
          <w:kern w:val="0"/>
          <w:highlight w:val="none"/>
          <w:lang w:val="zh-CN"/>
        </w:rPr>
      </w:pPr>
      <w:r>
        <w:rPr>
          <w:rFonts w:ascii="宋体" w:hAnsi="宋体" w:cs="宋体"/>
          <w:color w:val="auto"/>
          <w:kern w:val="0"/>
          <w:highlight w:val="none"/>
          <w:lang w:val="zh-CN"/>
        </w:rPr>
        <w:t>1</w:t>
      </w:r>
      <w:r>
        <w:rPr>
          <w:rFonts w:hint="eastAsia" w:ascii="宋体" w:hAnsi="宋体" w:cs="宋体"/>
          <w:color w:val="auto"/>
          <w:kern w:val="0"/>
          <w:highlight w:val="none"/>
          <w:lang w:val="zh-CN"/>
        </w:rPr>
        <w:t>、不见面开标系统需插入</w:t>
      </w:r>
      <w:r>
        <w:rPr>
          <w:rFonts w:ascii="宋体" w:hAnsi="宋体" w:cs="宋体"/>
          <w:color w:val="auto"/>
          <w:kern w:val="0"/>
          <w:highlight w:val="none"/>
          <w:lang w:val="zh-CN"/>
        </w:rPr>
        <w:t>CA</w:t>
      </w:r>
      <w:r>
        <w:rPr>
          <w:rFonts w:hint="eastAsia" w:ascii="宋体" w:hAnsi="宋体" w:cs="宋体"/>
          <w:color w:val="auto"/>
          <w:kern w:val="0"/>
          <w:highlight w:val="none"/>
          <w:lang w:val="zh-CN"/>
        </w:rPr>
        <w:t>数字证书（以下简称</w:t>
      </w:r>
      <w:r>
        <w:rPr>
          <w:rFonts w:ascii="宋体" w:hAnsi="宋体" w:cs="宋体"/>
          <w:color w:val="auto"/>
          <w:kern w:val="0"/>
          <w:highlight w:val="none"/>
          <w:lang w:val="zh-CN"/>
        </w:rPr>
        <w:t>CA</w:t>
      </w:r>
      <w:r>
        <w:rPr>
          <w:rFonts w:hint="eastAsia" w:ascii="宋体" w:hAnsi="宋体" w:cs="宋体"/>
          <w:color w:val="auto"/>
          <w:kern w:val="0"/>
          <w:highlight w:val="none"/>
          <w:lang w:val="zh-CN"/>
        </w:rPr>
        <w:t>锁），方可登录使用。</w:t>
      </w:r>
    </w:p>
    <w:p>
      <w:pPr>
        <w:ind w:firstLine="420" w:firstLineChars="200"/>
        <w:rPr>
          <w:rFonts w:ascii="宋体" w:hAnsi="宋体" w:cs="宋体"/>
          <w:color w:val="auto"/>
          <w:kern w:val="0"/>
          <w:highlight w:val="none"/>
          <w:lang w:val="zh-CN"/>
        </w:rPr>
      </w:pPr>
      <w:r>
        <w:rPr>
          <w:rFonts w:hint="eastAsia" w:ascii="宋体" w:hAnsi="宋体" w:cs="宋体"/>
          <w:color w:val="auto"/>
          <w:kern w:val="0"/>
          <w:highlight w:val="none"/>
          <w:lang w:val="zh-CN"/>
        </w:rPr>
        <w:t>2、投标人应特别注意CA锁有效性、CA锁延期、补办后，虽硬件介质不变，但锁的证书Key号发生改变，会被系统识别为非同一把锁，导致开标时无法解密投标文件。</w:t>
      </w:r>
    </w:p>
    <w:p>
      <w:pPr>
        <w:ind w:firstLine="420" w:firstLineChars="200"/>
        <w:rPr>
          <w:rFonts w:ascii="宋体" w:hAnsi="宋体" w:cs="宋体"/>
          <w:color w:val="auto"/>
          <w:kern w:val="0"/>
          <w:highlight w:val="none"/>
          <w:lang w:val="zh-CN"/>
        </w:rPr>
      </w:pPr>
      <w:r>
        <w:rPr>
          <w:rFonts w:ascii="宋体" w:hAnsi="宋体" w:cs="宋体"/>
          <w:color w:val="auto"/>
          <w:kern w:val="0"/>
          <w:highlight w:val="none"/>
          <w:lang w:val="zh-CN"/>
        </w:rPr>
        <w:t>3</w:t>
      </w:r>
      <w:r>
        <w:rPr>
          <w:rFonts w:hint="eastAsia" w:ascii="宋体" w:hAnsi="宋体" w:cs="宋体"/>
          <w:color w:val="auto"/>
          <w:kern w:val="0"/>
          <w:highlight w:val="none"/>
          <w:lang w:val="zh-CN"/>
        </w:rPr>
        <w:t>、投标人应当学习并掌握电子交易平台操作流程。</w:t>
      </w:r>
    </w:p>
    <w:p>
      <w:pPr>
        <w:ind w:firstLine="420" w:firstLineChars="200"/>
        <w:rPr>
          <w:rFonts w:ascii="宋体" w:hAnsi="宋体" w:cs="宋体"/>
          <w:color w:val="auto"/>
          <w:kern w:val="0"/>
          <w:highlight w:val="none"/>
          <w:lang w:val="zh-CN"/>
        </w:rPr>
      </w:pPr>
      <w:r>
        <w:rPr>
          <w:rFonts w:ascii="宋体" w:hAnsi="宋体" w:cs="宋体"/>
          <w:color w:val="auto"/>
          <w:kern w:val="0"/>
          <w:highlight w:val="none"/>
          <w:lang w:val="zh-CN"/>
        </w:rPr>
        <w:t>4</w:t>
      </w:r>
      <w:r>
        <w:rPr>
          <w:rFonts w:hint="eastAsia" w:ascii="宋体" w:hAnsi="宋体" w:cs="宋体"/>
          <w:color w:val="auto"/>
          <w:kern w:val="0"/>
          <w:highlight w:val="none"/>
          <w:lang w:val="zh-CN"/>
        </w:rPr>
        <w:t>、投标人操作流程：招标文件领取登记→下载电子招标文件→下载答疑澄清文件（如有）→制作电子投标文件→上传加密电子投标文件→参加不见面开标；</w:t>
      </w:r>
    </w:p>
    <w:p>
      <w:pPr>
        <w:ind w:firstLine="420" w:firstLineChars="200"/>
        <w:outlineLvl w:val="0"/>
        <w:rPr>
          <w:rFonts w:ascii="宋体" w:hAnsi="宋体" w:cs="宋体"/>
          <w:color w:val="auto"/>
          <w:kern w:val="0"/>
          <w:highlight w:val="none"/>
          <w:lang w:val="zh-CN"/>
        </w:rPr>
      </w:pPr>
      <w:r>
        <w:rPr>
          <w:rFonts w:hint="eastAsia" w:ascii="宋体" w:hAnsi="宋体" w:cs="宋体"/>
          <w:color w:val="auto"/>
          <w:kern w:val="0"/>
          <w:highlight w:val="none"/>
          <w:lang w:val="zh-CN"/>
        </w:rPr>
        <w:t>5、投标人应</w:t>
      </w:r>
      <w:r>
        <w:rPr>
          <w:rFonts w:hint="eastAsia" w:ascii="宋体" w:hAnsi="宋体" w:cs="宋体"/>
          <w:color w:val="auto"/>
          <w:kern w:val="0"/>
          <w:highlight w:val="none"/>
        </w:rPr>
        <w:t>在规定</w:t>
      </w:r>
      <w:r>
        <w:rPr>
          <w:rFonts w:hint="eastAsia" w:ascii="宋体" w:hAnsi="宋体" w:cs="宋体"/>
          <w:color w:val="auto"/>
          <w:kern w:val="0"/>
          <w:highlight w:val="none"/>
          <w:lang w:val="zh-CN"/>
        </w:rPr>
        <w:t>的时间内下载答疑澄清文件；</w:t>
      </w:r>
    </w:p>
    <w:p>
      <w:pPr>
        <w:spacing w:line="360" w:lineRule="exact"/>
        <w:ind w:firstLine="420" w:firstLineChars="200"/>
        <w:rPr>
          <w:rFonts w:ascii="宋体" w:hAnsi="宋体" w:cs="宋体"/>
          <w:color w:val="auto"/>
          <w:highlight w:val="none"/>
        </w:rPr>
      </w:pPr>
      <w:r>
        <w:rPr>
          <w:rFonts w:hint="eastAsia" w:ascii="宋体" w:hAnsi="宋体" w:cs="宋体"/>
          <w:color w:val="auto"/>
          <w:kern w:val="0"/>
          <w:highlight w:val="none"/>
          <w:lang w:val="zh-CN"/>
        </w:rPr>
        <w:t>6、潜在投标人应自行关注网站和电子交易平台公告，招标人不再一一通知。投标人因自身贻误行为导致投标失败的，责任自负</w:t>
      </w:r>
      <w:r>
        <w:rPr>
          <w:rFonts w:hint="eastAsia" w:ascii="宋体" w:hAnsi="宋体" w:cs="宋体"/>
          <w:color w:val="auto"/>
          <w:highlight w:val="none"/>
        </w:rPr>
        <w:t xml:space="preserve">。 </w:t>
      </w:r>
    </w:p>
    <w:p>
      <w:pPr>
        <w:pStyle w:val="4"/>
        <w:adjustRightInd w:val="0"/>
        <w:snapToGrid w:val="0"/>
        <w:spacing w:line="300" w:lineRule="auto"/>
        <w:jc w:val="center"/>
        <w:rPr>
          <w:rFonts w:hAnsi="宋体"/>
          <w:b/>
          <w:bCs/>
          <w:color w:val="auto"/>
          <w:sz w:val="30"/>
          <w:szCs w:val="30"/>
          <w:highlight w:val="none"/>
        </w:rPr>
      </w:pPr>
      <w:r>
        <w:rPr>
          <w:rFonts w:hint="eastAsia" w:hAnsi="宋体"/>
          <w:b/>
          <w:bCs/>
          <w:color w:val="auto"/>
          <w:sz w:val="30"/>
          <w:szCs w:val="30"/>
          <w:highlight w:val="none"/>
        </w:rPr>
        <w:t>第三章评标方法</w:t>
      </w:r>
    </w:p>
    <w:p>
      <w:pPr>
        <w:pStyle w:val="4"/>
        <w:adjustRightInd w:val="0"/>
        <w:snapToGrid w:val="0"/>
        <w:spacing w:line="300" w:lineRule="auto"/>
        <w:jc w:val="center"/>
        <w:rPr>
          <w:rFonts w:hAnsi="宋体"/>
          <w:b/>
          <w:bCs/>
          <w:color w:val="auto"/>
          <w:sz w:val="30"/>
          <w:szCs w:val="30"/>
          <w:highlight w:val="none"/>
        </w:rPr>
      </w:pPr>
    </w:p>
    <w:p>
      <w:pPr>
        <w:adjustRightInd w:val="0"/>
        <w:snapToGrid w:val="0"/>
        <w:spacing w:line="380" w:lineRule="exact"/>
        <w:jc w:val="left"/>
        <w:rPr>
          <w:rFonts w:ascii="宋体" w:hAnsi="宋体"/>
          <w:color w:val="auto"/>
          <w:highlight w:val="none"/>
        </w:rPr>
      </w:pPr>
      <w:r>
        <w:rPr>
          <w:rFonts w:ascii="宋体" w:hAnsi="宋体" w:cs="宋体"/>
          <w:color w:val="auto"/>
          <w:highlight w:val="none"/>
        </w:rPr>
        <w:t>1</w:t>
      </w:r>
      <w:r>
        <w:rPr>
          <w:rFonts w:hint="eastAsia" w:ascii="宋体" w:hAnsi="宋体" w:cs="宋体"/>
          <w:color w:val="auto"/>
          <w:highlight w:val="none"/>
        </w:rPr>
        <w:t>评标办法</w:t>
      </w:r>
    </w:p>
    <w:p>
      <w:pPr>
        <w:adjustRightInd w:val="0"/>
        <w:snapToGrid w:val="0"/>
        <w:spacing w:line="380" w:lineRule="exact"/>
        <w:jc w:val="left"/>
        <w:rPr>
          <w:rFonts w:ascii="宋体" w:hAnsi="宋体"/>
          <w:color w:val="auto"/>
          <w:highlight w:val="none"/>
        </w:rPr>
      </w:pPr>
      <w:r>
        <w:rPr>
          <w:rFonts w:ascii="宋体" w:hAnsi="宋体" w:cs="宋体"/>
          <w:color w:val="auto"/>
          <w:highlight w:val="none"/>
        </w:rPr>
        <w:t>1.1</w:t>
      </w:r>
      <w:r>
        <w:rPr>
          <w:rFonts w:hint="eastAsia" w:ascii="宋体" w:hAnsi="宋体" w:cs="宋体"/>
          <w:color w:val="auto"/>
          <w:highlight w:val="none"/>
        </w:rPr>
        <w:t>设有技术标的，评标采用综合评分法，由评标委员会对满足招标文件实质性要求的投标文件分别对技术标和商务标评审打分，两项得分之和为总得分。不设技术标的仅对满足招标文件实质性要求的投标文件的商务标评审打分。评标委员会按照第二章</w:t>
      </w:r>
      <w:r>
        <w:rPr>
          <w:rFonts w:ascii="宋体" w:hAnsi="宋体"/>
          <w:color w:val="auto"/>
          <w:highlight w:val="none"/>
        </w:rPr>
        <w:t>7.1</w:t>
      </w:r>
      <w:r>
        <w:rPr>
          <w:rFonts w:hint="eastAsia" w:ascii="宋体" w:hAnsi="宋体" w:cs="宋体"/>
          <w:color w:val="auto"/>
          <w:highlight w:val="none"/>
        </w:rPr>
        <w:t>要求确定中标候选人。</w:t>
      </w:r>
    </w:p>
    <w:p>
      <w:pPr>
        <w:adjustRightInd w:val="0"/>
        <w:snapToGrid w:val="0"/>
        <w:spacing w:line="380" w:lineRule="exact"/>
        <w:jc w:val="left"/>
        <w:outlineLvl w:val="0"/>
        <w:rPr>
          <w:rFonts w:ascii="宋体" w:hAnsi="宋体"/>
          <w:color w:val="auto"/>
          <w:highlight w:val="none"/>
        </w:rPr>
      </w:pPr>
      <w:r>
        <w:rPr>
          <w:rFonts w:ascii="宋体" w:hAnsi="宋体"/>
          <w:color w:val="auto"/>
          <w:highlight w:val="none"/>
        </w:rPr>
        <w:t>2</w:t>
      </w:r>
      <w:r>
        <w:rPr>
          <w:rFonts w:hint="eastAsia" w:ascii="宋体" w:hAnsi="宋体" w:cs="宋体"/>
          <w:color w:val="auto"/>
          <w:highlight w:val="none"/>
        </w:rPr>
        <w:t>初步评审</w:t>
      </w:r>
    </w:p>
    <w:p>
      <w:pPr>
        <w:adjustRightInd w:val="0"/>
        <w:snapToGrid w:val="0"/>
        <w:spacing w:line="380" w:lineRule="exact"/>
        <w:jc w:val="left"/>
        <w:rPr>
          <w:rFonts w:ascii="宋体" w:hAnsi="宋体"/>
          <w:color w:val="auto"/>
          <w:highlight w:val="none"/>
        </w:rPr>
      </w:pPr>
      <w:r>
        <w:rPr>
          <w:rFonts w:ascii="宋体" w:hAnsi="宋体"/>
          <w:color w:val="auto"/>
          <w:highlight w:val="none"/>
        </w:rPr>
        <w:t>2.1</w:t>
      </w:r>
      <w:r>
        <w:rPr>
          <w:rFonts w:hint="eastAsia" w:ascii="宋体" w:hAnsi="宋体" w:cs="宋体"/>
          <w:color w:val="auto"/>
          <w:highlight w:val="none"/>
        </w:rPr>
        <w:t>评标委员会对进入评审的投标文件进行初步评审，投标文件有下列情形之一的，作废标处理：</w:t>
      </w:r>
    </w:p>
    <w:p>
      <w:pPr>
        <w:adjustRightInd w:val="0"/>
        <w:snapToGrid w:val="0"/>
        <w:spacing w:line="380" w:lineRule="exact"/>
        <w:jc w:val="left"/>
        <w:rPr>
          <w:rFonts w:ascii="宋体" w:hAnsi="宋体"/>
          <w:color w:val="auto"/>
          <w:highlight w:val="none"/>
        </w:rPr>
      </w:pPr>
      <w:r>
        <w:rPr>
          <w:rFonts w:hint="eastAsia" w:ascii="宋体" w:hAnsi="宋体" w:cs="宋体"/>
          <w:color w:val="auto"/>
          <w:highlight w:val="none"/>
        </w:rPr>
        <w:t>（</w:t>
      </w:r>
      <w:r>
        <w:rPr>
          <w:rFonts w:ascii="宋体" w:hAnsi="宋体"/>
          <w:color w:val="auto"/>
          <w:highlight w:val="none"/>
        </w:rPr>
        <w:t>1</w:t>
      </w:r>
      <w:r>
        <w:rPr>
          <w:rFonts w:hint="eastAsia" w:ascii="宋体" w:hAnsi="宋体" w:cs="宋体"/>
          <w:color w:val="auto"/>
          <w:highlight w:val="none"/>
        </w:rPr>
        <w:t>）投标人名称与营业执照、资质证书不一致的；未能递交投标资格证明材料或者资料失效的；</w:t>
      </w:r>
    </w:p>
    <w:p>
      <w:pPr>
        <w:adjustRightInd w:val="0"/>
        <w:snapToGrid w:val="0"/>
        <w:spacing w:line="380" w:lineRule="exact"/>
        <w:jc w:val="left"/>
        <w:rPr>
          <w:rFonts w:ascii="宋体" w:hAnsi="宋体"/>
          <w:color w:val="auto"/>
          <w:highlight w:val="none"/>
        </w:rPr>
      </w:pPr>
      <w:r>
        <w:rPr>
          <w:rFonts w:hint="eastAsia" w:ascii="宋体" w:hAnsi="宋体" w:cs="宋体"/>
          <w:color w:val="auto"/>
          <w:highlight w:val="none"/>
        </w:rPr>
        <w:t>（</w:t>
      </w:r>
      <w:r>
        <w:rPr>
          <w:rFonts w:ascii="宋体" w:hAnsi="宋体" w:cs="宋体"/>
          <w:color w:val="auto"/>
          <w:highlight w:val="none"/>
        </w:rPr>
        <w:t>2</w:t>
      </w:r>
      <w:r>
        <w:rPr>
          <w:rFonts w:hint="eastAsia" w:ascii="宋体" w:hAnsi="宋体" w:cs="宋体"/>
          <w:color w:val="auto"/>
          <w:highlight w:val="none"/>
        </w:rPr>
        <w:t>）投标文件格式不符合第四章“投标文件格式”要求的或者填写内容不全或者签字盖章不满足要求的；</w:t>
      </w:r>
    </w:p>
    <w:p>
      <w:pPr>
        <w:adjustRightInd w:val="0"/>
        <w:snapToGrid w:val="0"/>
        <w:spacing w:line="380" w:lineRule="exact"/>
        <w:jc w:val="left"/>
        <w:rPr>
          <w:rFonts w:ascii="宋体" w:hAnsi="宋体"/>
          <w:color w:val="auto"/>
          <w:highlight w:val="none"/>
        </w:rPr>
      </w:pPr>
      <w:r>
        <w:rPr>
          <w:rFonts w:hint="eastAsia" w:ascii="宋体" w:hAnsi="宋体" w:cs="宋体"/>
          <w:color w:val="auto"/>
          <w:highlight w:val="none"/>
        </w:rPr>
        <w:t>（</w:t>
      </w:r>
      <w:r>
        <w:rPr>
          <w:rFonts w:ascii="宋体" w:hAnsi="宋体" w:cs="宋体"/>
          <w:color w:val="auto"/>
          <w:highlight w:val="none"/>
        </w:rPr>
        <w:t>3</w:t>
      </w:r>
      <w:r>
        <w:rPr>
          <w:rFonts w:hint="eastAsia" w:ascii="宋体" w:hAnsi="宋体" w:cs="宋体"/>
          <w:color w:val="auto"/>
          <w:highlight w:val="none"/>
        </w:rPr>
        <w:t>）主要实质性内容字迹（图像）模糊辨认不清的；</w:t>
      </w:r>
    </w:p>
    <w:p>
      <w:pPr>
        <w:adjustRightInd w:val="0"/>
        <w:snapToGrid w:val="0"/>
        <w:spacing w:line="380" w:lineRule="exact"/>
        <w:jc w:val="left"/>
        <w:rPr>
          <w:rFonts w:ascii="宋体" w:hAnsi="宋体"/>
          <w:color w:val="auto"/>
          <w:highlight w:val="none"/>
        </w:rPr>
      </w:pPr>
      <w:r>
        <w:rPr>
          <w:rFonts w:hint="eastAsia" w:ascii="宋体" w:hAnsi="宋体" w:cs="宋体"/>
          <w:color w:val="auto"/>
          <w:highlight w:val="none"/>
        </w:rPr>
        <w:t>（</w:t>
      </w:r>
      <w:r>
        <w:rPr>
          <w:rFonts w:ascii="宋体" w:hAnsi="宋体" w:cs="宋体"/>
          <w:color w:val="auto"/>
          <w:highlight w:val="none"/>
        </w:rPr>
        <w:t>4</w:t>
      </w:r>
      <w:r>
        <w:rPr>
          <w:rFonts w:hint="eastAsia" w:ascii="宋体" w:hAnsi="宋体" w:cs="宋体"/>
          <w:color w:val="auto"/>
          <w:highlight w:val="none"/>
        </w:rPr>
        <w:t>）有多个报价且不能认定有效报价唯一的；</w:t>
      </w:r>
    </w:p>
    <w:p>
      <w:pPr>
        <w:spacing w:line="380" w:lineRule="exact"/>
        <w:rPr>
          <w:rFonts w:ascii="宋体" w:hAnsi="宋体"/>
          <w:color w:val="auto"/>
          <w:highlight w:val="none"/>
        </w:rPr>
      </w:pPr>
      <w:r>
        <w:rPr>
          <w:rFonts w:hint="eastAsia" w:ascii="宋体" w:hAnsi="宋体" w:cs="宋体"/>
          <w:color w:val="auto"/>
          <w:highlight w:val="none"/>
        </w:rPr>
        <w:t>（</w:t>
      </w:r>
      <w:r>
        <w:rPr>
          <w:rFonts w:ascii="宋体" w:hAnsi="宋体" w:cs="宋体"/>
          <w:color w:val="auto"/>
          <w:highlight w:val="none"/>
        </w:rPr>
        <w:t>5</w:t>
      </w:r>
      <w:r>
        <w:rPr>
          <w:rFonts w:hint="eastAsia" w:ascii="宋体" w:hAnsi="宋体" w:cs="宋体"/>
          <w:color w:val="auto"/>
          <w:highlight w:val="none"/>
        </w:rPr>
        <w:t xml:space="preserve">）电子投标项目，因投标人原因导致电子投标文件无法导入（解密）系统的，其投标应作无效或者废标处理。 </w:t>
      </w:r>
    </w:p>
    <w:p>
      <w:pPr>
        <w:spacing w:line="380" w:lineRule="exact"/>
        <w:rPr>
          <w:rFonts w:ascii="宋体" w:hAnsi="宋体"/>
          <w:color w:val="auto"/>
          <w:highlight w:val="none"/>
        </w:rPr>
      </w:pPr>
      <w:r>
        <w:rPr>
          <w:rFonts w:hint="eastAsia" w:ascii="宋体" w:hAnsi="宋体" w:cs="宋体"/>
          <w:color w:val="auto"/>
          <w:highlight w:val="none"/>
        </w:rPr>
        <w:t>（</w:t>
      </w:r>
      <w:r>
        <w:rPr>
          <w:rFonts w:ascii="宋体" w:hAnsi="宋体" w:cs="宋体"/>
          <w:color w:val="auto"/>
          <w:highlight w:val="none"/>
        </w:rPr>
        <w:t>6</w:t>
      </w:r>
      <w:r>
        <w:rPr>
          <w:rFonts w:hint="eastAsia" w:ascii="宋体" w:hAnsi="宋体" w:cs="宋体"/>
          <w:color w:val="auto"/>
          <w:highlight w:val="none"/>
        </w:rPr>
        <w:t>）投标文件中实质性内容有删除线等导致相关内容意义不明确的(适用采用电子投标的)；</w:t>
      </w:r>
    </w:p>
    <w:p>
      <w:pPr>
        <w:spacing w:line="380" w:lineRule="exact"/>
        <w:outlineLvl w:val="0"/>
        <w:rPr>
          <w:rFonts w:ascii="宋体" w:hAnsi="宋体" w:cs="宋体"/>
          <w:strike/>
          <w:color w:val="auto"/>
          <w:spacing w:val="-3"/>
          <w:kern w:val="0"/>
          <w:highlight w:val="none"/>
          <w:lang w:val="zh-CN" w:bidi="zh-CN"/>
        </w:rPr>
      </w:pPr>
      <w:r>
        <w:rPr>
          <w:rFonts w:hint="eastAsia" w:ascii="宋体" w:hAnsi="宋体" w:cs="宋体"/>
          <w:strike/>
          <w:color w:val="auto"/>
          <w:spacing w:val="-3"/>
          <w:kern w:val="0"/>
          <w:highlight w:val="none"/>
          <w:lang w:val="zh-CN" w:bidi="zh-CN"/>
        </w:rPr>
        <w:t>（</w:t>
      </w:r>
      <w:r>
        <w:rPr>
          <w:rFonts w:hint="eastAsia" w:ascii="宋体" w:hAnsi="宋体" w:cs="宋体"/>
          <w:strike/>
          <w:color w:val="auto"/>
          <w:spacing w:val="-3"/>
          <w:kern w:val="0"/>
          <w:highlight w:val="none"/>
          <w:lang w:bidi="zh-CN"/>
        </w:rPr>
        <w:t>7</w:t>
      </w:r>
      <w:r>
        <w:rPr>
          <w:rFonts w:hint="eastAsia" w:ascii="宋体" w:hAnsi="宋体" w:cs="宋体"/>
          <w:strike/>
          <w:color w:val="auto"/>
          <w:spacing w:val="-3"/>
          <w:kern w:val="0"/>
          <w:highlight w:val="none"/>
          <w:lang w:val="zh-CN" w:bidi="zh-CN"/>
        </w:rPr>
        <w:t>）未满足投标文件数量要求的</w:t>
      </w:r>
      <w:r>
        <w:rPr>
          <w:rFonts w:ascii="宋体" w:hAnsi="宋体" w:cs="宋体"/>
          <w:strike/>
          <w:color w:val="auto"/>
          <w:spacing w:val="-3"/>
          <w:kern w:val="0"/>
          <w:highlight w:val="none"/>
          <w:lang w:val="zh-CN" w:bidi="zh-CN"/>
        </w:rPr>
        <w:t>(</w:t>
      </w:r>
      <w:r>
        <w:rPr>
          <w:rFonts w:hint="eastAsia" w:ascii="宋体" w:hAnsi="宋体" w:cs="宋体"/>
          <w:strike/>
          <w:color w:val="auto"/>
          <w:spacing w:val="-3"/>
          <w:kern w:val="0"/>
          <w:highlight w:val="none"/>
          <w:lang w:val="zh-CN" w:bidi="zh-CN"/>
        </w:rPr>
        <w:t>适用不采用电子投标的</w:t>
      </w:r>
      <w:r>
        <w:rPr>
          <w:rFonts w:ascii="宋体" w:hAnsi="宋体" w:cs="宋体"/>
          <w:strike/>
          <w:color w:val="auto"/>
          <w:spacing w:val="-3"/>
          <w:kern w:val="0"/>
          <w:highlight w:val="none"/>
          <w:lang w:val="zh-CN" w:bidi="zh-CN"/>
        </w:rPr>
        <w:t>)</w:t>
      </w:r>
      <w:r>
        <w:rPr>
          <w:rFonts w:hint="eastAsia" w:ascii="宋体" w:hAnsi="宋体" w:cs="宋体"/>
          <w:strike/>
          <w:color w:val="auto"/>
          <w:spacing w:val="-3"/>
          <w:kern w:val="0"/>
          <w:highlight w:val="none"/>
          <w:lang w:val="zh-CN" w:bidi="zh-CN"/>
        </w:rPr>
        <w:t>；</w:t>
      </w:r>
    </w:p>
    <w:p>
      <w:pPr>
        <w:spacing w:line="380" w:lineRule="exact"/>
        <w:rPr>
          <w:rFonts w:ascii="宋体" w:hAnsi="宋体" w:cs="宋体"/>
          <w:strike/>
          <w:color w:val="auto"/>
          <w:spacing w:val="-3"/>
          <w:kern w:val="0"/>
          <w:highlight w:val="none"/>
          <w:lang w:val="zh-CN" w:bidi="zh-CN"/>
        </w:rPr>
      </w:pPr>
      <w:r>
        <w:rPr>
          <w:rFonts w:hint="eastAsia" w:ascii="宋体" w:hAnsi="宋体" w:cs="宋体"/>
          <w:strike/>
          <w:color w:val="auto"/>
          <w:spacing w:val="-3"/>
          <w:kern w:val="0"/>
          <w:highlight w:val="none"/>
          <w:lang w:val="zh-CN" w:bidi="zh-CN"/>
        </w:rPr>
        <w:t>（</w:t>
      </w:r>
      <w:r>
        <w:rPr>
          <w:rFonts w:hint="eastAsia" w:ascii="宋体" w:hAnsi="宋体" w:cs="宋体"/>
          <w:strike/>
          <w:color w:val="auto"/>
          <w:spacing w:val="-3"/>
          <w:kern w:val="0"/>
          <w:highlight w:val="none"/>
          <w:lang w:bidi="zh-CN"/>
        </w:rPr>
        <w:t>8</w:t>
      </w:r>
      <w:r>
        <w:rPr>
          <w:rFonts w:hint="eastAsia" w:ascii="宋体" w:hAnsi="宋体" w:cs="宋体"/>
          <w:strike/>
          <w:color w:val="auto"/>
          <w:spacing w:val="-3"/>
          <w:kern w:val="0"/>
          <w:highlight w:val="none"/>
          <w:lang w:val="zh-CN" w:bidi="zh-CN"/>
        </w:rPr>
        <w:t>）未在投标文件封面注明正本或者副本的</w:t>
      </w:r>
      <w:r>
        <w:rPr>
          <w:rFonts w:ascii="宋体" w:hAnsi="宋体" w:cs="宋体"/>
          <w:strike/>
          <w:color w:val="auto"/>
          <w:spacing w:val="-3"/>
          <w:kern w:val="0"/>
          <w:highlight w:val="none"/>
          <w:lang w:val="zh-CN" w:bidi="zh-CN"/>
        </w:rPr>
        <w:t>(</w:t>
      </w:r>
      <w:r>
        <w:rPr>
          <w:rFonts w:hint="eastAsia" w:ascii="宋体" w:hAnsi="宋体" w:cs="宋体"/>
          <w:strike/>
          <w:color w:val="auto"/>
          <w:spacing w:val="-3"/>
          <w:kern w:val="0"/>
          <w:highlight w:val="none"/>
          <w:lang w:val="zh-CN" w:bidi="zh-CN"/>
        </w:rPr>
        <w:t>适用不采用电子投标的</w:t>
      </w:r>
      <w:r>
        <w:rPr>
          <w:rFonts w:ascii="宋体" w:hAnsi="宋体" w:cs="宋体"/>
          <w:strike/>
          <w:color w:val="auto"/>
          <w:spacing w:val="-3"/>
          <w:kern w:val="0"/>
          <w:highlight w:val="none"/>
          <w:lang w:val="zh-CN" w:bidi="zh-CN"/>
        </w:rPr>
        <w:t>)</w:t>
      </w:r>
      <w:r>
        <w:rPr>
          <w:rFonts w:hint="eastAsia" w:ascii="宋体" w:hAnsi="宋体" w:cs="宋体"/>
          <w:strike/>
          <w:color w:val="auto"/>
          <w:spacing w:val="-3"/>
          <w:kern w:val="0"/>
          <w:highlight w:val="none"/>
          <w:lang w:val="zh-CN" w:bidi="zh-CN"/>
        </w:rPr>
        <w:t>；</w:t>
      </w:r>
    </w:p>
    <w:p>
      <w:pPr>
        <w:spacing w:line="380" w:lineRule="exact"/>
        <w:rPr>
          <w:rFonts w:ascii="宋体" w:hAnsi="宋体" w:cs="宋体"/>
          <w:strike/>
          <w:color w:val="auto"/>
          <w:spacing w:val="-3"/>
          <w:kern w:val="0"/>
          <w:highlight w:val="none"/>
          <w:lang w:val="zh-CN" w:bidi="zh-CN"/>
        </w:rPr>
      </w:pPr>
      <w:r>
        <w:rPr>
          <w:rFonts w:hint="eastAsia" w:ascii="宋体" w:hAnsi="宋体" w:cs="宋体"/>
          <w:strike/>
          <w:color w:val="auto"/>
          <w:spacing w:val="-3"/>
          <w:kern w:val="0"/>
          <w:highlight w:val="none"/>
          <w:lang w:val="zh-CN" w:bidi="zh-CN"/>
        </w:rPr>
        <w:t>（</w:t>
      </w:r>
      <w:r>
        <w:rPr>
          <w:rFonts w:hint="eastAsia" w:ascii="宋体" w:hAnsi="宋体" w:cs="宋体"/>
          <w:strike/>
          <w:color w:val="auto"/>
          <w:spacing w:val="-3"/>
          <w:kern w:val="0"/>
          <w:highlight w:val="none"/>
          <w:lang w:bidi="zh-CN"/>
        </w:rPr>
        <w:t>9</w:t>
      </w:r>
      <w:r>
        <w:rPr>
          <w:rFonts w:hint="eastAsia" w:ascii="宋体" w:hAnsi="宋体" w:cs="宋体"/>
          <w:strike/>
          <w:color w:val="auto"/>
          <w:spacing w:val="-3"/>
          <w:kern w:val="0"/>
          <w:highlight w:val="none"/>
          <w:lang w:val="zh-CN" w:bidi="zh-CN"/>
        </w:rPr>
        <w:t>）投标文件中实质性内容有涂改但未在涂改处加盖单位公章或法定代表人或其委托授权人盖章的；（适用不采用电子投标的</w:t>
      </w:r>
      <w:r>
        <w:rPr>
          <w:rFonts w:ascii="宋体" w:hAnsi="宋体" w:cs="宋体"/>
          <w:strike/>
          <w:color w:val="auto"/>
          <w:spacing w:val="-3"/>
          <w:kern w:val="0"/>
          <w:highlight w:val="none"/>
          <w:lang w:val="zh-CN" w:bidi="zh-CN"/>
        </w:rPr>
        <w:t>)</w:t>
      </w:r>
      <w:r>
        <w:rPr>
          <w:rFonts w:hint="eastAsia" w:ascii="宋体" w:hAnsi="宋体" w:cs="宋体"/>
          <w:strike/>
          <w:color w:val="auto"/>
          <w:spacing w:val="-3"/>
          <w:kern w:val="0"/>
          <w:highlight w:val="none"/>
          <w:lang w:val="zh-CN" w:bidi="zh-CN"/>
        </w:rPr>
        <w:t>；</w:t>
      </w:r>
    </w:p>
    <w:p>
      <w:pPr>
        <w:spacing w:line="380" w:lineRule="exact"/>
        <w:rPr>
          <w:rFonts w:ascii="宋体" w:hAnsi="宋体" w:cs="宋体"/>
          <w:color w:val="auto"/>
          <w:spacing w:val="-3"/>
          <w:kern w:val="0"/>
          <w:highlight w:val="none"/>
          <w:lang w:val="zh-CN" w:bidi="zh-CN"/>
        </w:rPr>
      </w:pPr>
      <w:r>
        <w:rPr>
          <w:rFonts w:hint="eastAsia" w:ascii="宋体" w:hAnsi="宋体" w:cs="宋体"/>
          <w:color w:val="auto"/>
          <w:spacing w:val="-3"/>
          <w:kern w:val="0"/>
          <w:highlight w:val="none"/>
          <w:lang w:val="zh-CN" w:bidi="zh-CN"/>
        </w:rPr>
        <w:t>（</w:t>
      </w:r>
      <w:r>
        <w:rPr>
          <w:rFonts w:hint="eastAsia" w:ascii="宋体" w:hAnsi="宋体" w:cs="宋体"/>
          <w:color w:val="auto"/>
          <w:spacing w:val="-3"/>
          <w:kern w:val="0"/>
          <w:highlight w:val="none"/>
          <w:lang w:bidi="zh-CN"/>
        </w:rPr>
        <w:t>10</w:t>
      </w:r>
      <w:r>
        <w:rPr>
          <w:rFonts w:hint="eastAsia" w:ascii="宋体" w:hAnsi="宋体" w:cs="宋体"/>
          <w:color w:val="auto"/>
          <w:spacing w:val="-3"/>
          <w:kern w:val="0"/>
          <w:highlight w:val="none"/>
          <w:lang w:val="zh-CN" w:bidi="zh-CN"/>
        </w:rPr>
        <w:t>）未按规定交纳投标保证金的；</w:t>
      </w:r>
    </w:p>
    <w:p>
      <w:pPr>
        <w:spacing w:line="380" w:lineRule="exact"/>
        <w:rPr>
          <w:rFonts w:ascii="宋体" w:hAnsi="宋体" w:cs="宋体"/>
          <w:color w:val="auto"/>
          <w:spacing w:val="-3"/>
          <w:kern w:val="0"/>
          <w:highlight w:val="none"/>
          <w:lang w:val="zh-CN" w:bidi="zh-CN"/>
        </w:rPr>
      </w:pPr>
      <w:r>
        <w:rPr>
          <w:rFonts w:hint="eastAsia" w:ascii="宋体" w:hAnsi="宋体" w:cs="宋体"/>
          <w:color w:val="auto"/>
          <w:spacing w:val="-3"/>
          <w:kern w:val="0"/>
          <w:highlight w:val="none"/>
          <w:lang w:val="zh-CN" w:bidi="zh-CN"/>
        </w:rPr>
        <w:t>（</w:t>
      </w:r>
      <w:r>
        <w:rPr>
          <w:rFonts w:hint="eastAsia" w:ascii="宋体" w:hAnsi="宋体" w:cs="宋体"/>
          <w:color w:val="auto"/>
          <w:spacing w:val="-3"/>
          <w:kern w:val="0"/>
          <w:highlight w:val="none"/>
          <w:lang w:bidi="zh-CN"/>
        </w:rPr>
        <w:t>11</w:t>
      </w:r>
      <w:r>
        <w:rPr>
          <w:rFonts w:hint="eastAsia" w:ascii="宋体" w:hAnsi="宋体" w:cs="宋体"/>
          <w:color w:val="auto"/>
          <w:spacing w:val="-3"/>
          <w:kern w:val="0"/>
          <w:highlight w:val="none"/>
          <w:lang w:val="zh-CN" w:bidi="zh-CN"/>
        </w:rPr>
        <w:t>）投标有效期不响应招标文件要求的；</w:t>
      </w:r>
    </w:p>
    <w:p>
      <w:pPr>
        <w:spacing w:line="380" w:lineRule="exact"/>
        <w:rPr>
          <w:rFonts w:ascii="宋体" w:hAnsi="宋体" w:cs="宋体"/>
          <w:color w:val="auto"/>
          <w:spacing w:val="-3"/>
          <w:kern w:val="0"/>
          <w:highlight w:val="none"/>
          <w:lang w:val="zh-CN" w:bidi="zh-CN"/>
        </w:rPr>
      </w:pPr>
      <w:r>
        <w:rPr>
          <w:rFonts w:hint="eastAsia" w:ascii="宋体" w:hAnsi="宋体" w:cs="宋体"/>
          <w:color w:val="auto"/>
          <w:spacing w:val="-3"/>
          <w:kern w:val="0"/>
          <w:highlight w:val="none"/>
          <w:lang w:val="zh-CN" w:bidi="zh-CN"/>
        </w:rPr>
        <w:t>（</w:t>
      </w:r>
      <w:r>
        <w:rPr>
          <w:rFonts w:ascii="宋体" w:hAnsi="宋体" w:cs="宋体"/>
          <w:color w:val="auto"/>
          <w:spacing w:val="-3"/>
          <w:kern w:val="0"/>
          <w:highlight w:val="none"/>
          <w:lang w:val="zh-CN" w:bidi="zh-CN"/>
        </w:rPr>
        <w:t>1</w:t>
      </w:r>
      <w:r>
        <w:rPr>
          <w:rFonts w:hint="eastAsia" w:ascii="宋体" w:hAnsi="宋体" w:cs="宋体"/>
          <w:color w:val="auto"/>
          <w:spacing w:val="-3"/>
          <w:kern w:val="0"/>
          <w:highlight w:val="none"/>
          <w:lang w:bidi="zh-CN"/>
        </w:rPr>
        <w:t>2</w:t>
      </w:r>
      <w:r>
        <w:rPr>
          <w:rFonts w:hint="eastAsia" w:ascii="宋体" w:hAnsi="宋体" w:cs="宋体"/>
          <w:color w:val="auto"/>
          <w:spacing w:val="-3"/>
          <w:kern w:val="0"/>
          <w:highlight w:val="none"/>
          <w:lang w:val="zh-CN" w:bidi="zh-CN"/>
        </w:rPr>
        <w:t>）不符合投标资格要求的；</w:t>
      </w:r>
    </w:p>
    <w:p>
      <w:pPr>
        <w:spacing w:line="380" w:lineRule="exact"/>
        <w:rPr>
          <w:rFonts w:ascii="宋体" w:hAnsi="宋体" w:cs="宋体"/>
          <w:color w:val="auto"/>
          <w:spacing w:val="-3"/>
          <w:kern w:val="0"/>
          <w:highlight w:val="none"/>
          <w:lang w:val="zh-CN" w:bidi="zh-CN"/>
        </w:rPr>
      </w:pPr>
      <w:r>
        <w:rPr>
          <w:rFonts w:hint="eastAsia" w:ascii="宋体" w:hAnsi="宋体" w:cs="宋体"/>
          <w:color w:val="auto"/>
          <w:spacing w:val="-3"/>
          <w:kern w:val="0"/>
          <w:highlight w:val="none"/>
          <w:lang w:val="zh-CN" w:bidi="zh-CN"/>
        </w:rPr>
        <w:t>（</w:t>
      </w:r>
      <w:r>
        <w:rPr>
          <w:rFonts w:ascii="宋体" w:hAnsi="宋体" w:cs="宋体"/>
          <w:color w:val="auto"/>
          <w:spacing w:val="-3"/>
          <w:kern w:val="0"/>
          <w:highlight w:val="none"/>
          <w:lang w:val="zh-CN" w:bidi="zh-CN"/>
        </w:rPr>
        <w:t>1</w:t>
      </w:r>
      <w:r>
        <w:rPr>
          <w:rFonts w:hint="eastAsia" w:ascii="宋体" w:hAnsi="宋体" w:cs="宋体"/>
          <w:color w:val="auto"/>
          <w:spacing w:val="-3"/>
          <w:kern w:val="0"/>
          <w:highlight w:val="none"/>
          <w:lang w:bidi="zh-CN"/>
        </w:rPr>
        <w:t>3</w:t>
      </w:r>
      <w:r>
        <w:rPr>
          <w:rFonts w:hint="eastAsia" w:ascii="宋体" w:hAnsi="宋体" w:cs="宋体"/>
          <w:color w:val="auto"/>
          <w:spacing w:val="-3"/>
          <w:kern w:val="0"/>
          <w:highlight w:val="none"/>
          <w:lang w:val="zh-CN" w:bidi="zh-CN"/>
        </w:rPr>
        <w:t>）按照法律法规规定应当认定为废标的。</w:t>
      </w:r>
    </w:p>
    <w:p>
      <w:pPr>
        <w:pStyle w:val="4"/>
        <w:adjustRightInd w:val="0"/>
        <w:snapToGrid w:val="0"/>
        <w:spacing w:line="380" w:lineRule="exact"/>
        <w:jc w:val="left"/>
        <w:rPr>
          <w:rFonts w:hAnsi="宋体" w:cs="宋体"/>
          <w:color w:val="auto"/>
          <w:spacing w:val="-3"/>
          <w:szCs w:val="22"/>
          <w:highlight w:val="none"/>
          <w:lang w:val="zh-CN" w:bidi="zh-CN"/>
        </w:rPr>
      </w:pPr>
      <w:r>
        <w:rPr>
          <w:rFonts w:hAnsi="宋体" w:cs="宋体"/>
          <w:color w:val="auto"/>
          <w:spacing w:val="-3"/>
          <w:szCs w:val="22"/>
          <w:highlight w:val="none"/>
          <w:lang w:val="zh-CN" w:bidi="zh-CN"/>
        </w:rPr>
        <w:t xml:space="preserve">3. </w:t>
      </w:r>
      <w:r>
        <w:rPr>
          <w:rFonts w:hint="eastAsia" w:hAnsi="宋体" w:cs="宋体"/>
          <w:color w:val="auto"/>
          <w:spacing w:val="-3"/>
          <w:szCs w:val="22"/>
          <w:highlight w:val="none"/>
          <w:lang w:val="zh-CN" w:bidi="zh-CN"/>
        </w:rPr>
        <w:t>详细评审</w:t>
      </w:r>
    </w:p>
    <w:p>
      <w:pPr>
        <w:pStyle w:val="4"/>
        <w:adjustRightInd w:val="0"/>
        <w:snapToGrid w:val="0"/>
        <w:spacing w:line="380" w:lineRule="exact"/>
        <w:jc w:val="left"/>
        <w:rPr>
          <w:rFonts w:hAnsi="宋体" w:cs="宋体"/>
          <w:color w:val="auto"/>
          <w:spacing w:val="-3"/>
          <w:szCs w:val="22"/>
          <w:highlight w:val="none"/>
          <w:lang w:val="zh-CN" w:bidi="zh-CN"/>
        </w:rPr>
      </w:pPr>
      <w:bookmarkStart w:id="29" w:name="OLE_LINK8"/>
      <w:r>
        <w:rPr>
          <w:rFonts w:hAnsi="宋体" w:cs="宋体"/>
          <w:strike/>
          <w:color w:val="auto"/>
          <w:kern w:val="2"/>
          <w:szCs w:val="22"/>
          <w:highlight w:val="none"/>
          <w:lang w:val="zh-CN" w:bidi="zh-CN"/>
        </w:rPr>
        <w:t>3.1</w:t>
      </w:r>
      <w:r>
        <w:rPr>
          <w:rFonts w:hint="eastAsia" w:hAnsi="宋体" w:cs="宋体"/>
          <w:strike/>
          <w:color w:val="auto"/>
          <w:kern w:val="2"/>
          <w:szCs w:val="22"/>
          <w:highlight w:val="none"/>
          <w:lang w:val="zh-CN" w:bidi="zh-CN"/>
        </w:rPr>
        <w:t>技术分</w:t>
      </w:r>
      <w:r>
        <w:rPr>
          <w:rFonts w:hAnsi="宋体" w:cs="宋体"/>
          <w:strike/>
          <w:color w:val="auto"/>
          <w:kern w:val="2"/>
          <w:szCs w:val="22"/>
          <w:highlight w:val="none"/>
          <w:lang w:val="zh-CN" w:bidi="zh-CN"/>
        </w:rPr>
        <w:t>(20</w:t>
      </w:r>
      <w:r>
        <w:rPr>
          <w:rFonts w:hint="eastAsia" w:hAnsi="宋体" w:cs="宋体"/>
          <w:strike/>
          <w:color w:val="auto"/>
          <w:kern w:val="2"/>
          <w:szCs w:val="22"/>
          <w:highlight w:val="none"/>
          <w:lang w:val="zh-CN" w:bidi="zh-CN"/>
        </w:rPr>
        <w:t>分</w:t>
      </w:r>
      <w:r>
        <w:rPr>
          <w:rFonts w:hAnsi="宋体" w:cs="宋体"/>
          <w:strike/>
          <w:color w:val="auto"/>
          <w:kern w:val="2"/>
          <w:szCs w:val="22"/>
          <w:highlight w:val="none"/>
          <w:lang w:val="zh-CN" w:bidi="zh-CN"/>
        </w:rPr>
        <w:t>)</w:t>
      </w:r>
      <w:r>
        <w:rPr>
          <w:rFonts w:hint="eastAsia" w:hAnsi="宋体"/>
          <w:b/>
          <w:color w:val="auto"/>
          <w:highlight w:val="none"/>
        </w:rPr>
        <w:t>（本项目不做要求）</w:t>
      </w:r>
    </w:p>
    <w:p>
      <w:pPr>
        <w:pStyle w:val="4"/>
        <w:adjustRightInd w:val="0"/>
        <w:snapToGrid w:val="0"/>
        <w:spacing w:line="380" w:lineRule="exact"/>
        <w:jc w:val="left"/>
        <w:rPr>
          <w:rFonts w:hAnsi="宋体" w:cs="宋体"/>
          <w:color w:val="auto"/>
          <w:spacing w:val="-3"/>
          <w:szCs w:val="22"/>
          <w:highlight w:val="none"/>
          <w:lang w:val="zh-CN" w:bidi="zh-CN"/>
        </w:rPr>
      </w:pPr>
      <w:r>
        <w:rPr>
          <w:rFonts w:hint="eastAsia" w:hAnsi="宋体" w:cs="宋体"/>
          <w:color w:val="auto"/>
          <w:spacing w:val="-3"/>
          <w:szCs w:val="22"/>
          <w:highlight w:val="none"/>
          <w:lang w:val="zh-CN" w:bidi="zh-CN"/>
        </w:rPr>
        <w:t>招标公告中载明设置技术标的，技术标详细评审标准按下表；不设置技术标的，不作技术标详细评审；技术标由各评标委员成员独立打分，算术平均后保留小数点后2位。</w:t>
      </w:r>
    </w:p>
    <w:tbl>
      <w:tblPr>
        <w:tblStyle w:val="9"/>
        <w:tblW w:w="84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8"/>
        <w:gridCol w:w="920"/>
        <w:gridCol w:w="62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1" w:hRule="atLeast"/>
          <w:jc w:val="center"/>
        </w:trPr>
        <w:tc>
          <w:tcPr>
            <w:tcW w:w="8472" w:type="dxa"/>
            <w:gridSpan w:val="3"/>
            <w:tcBorders>
              <w:top w:val="single" w:color="auto" w:sz="4" w:space="0"/>
              <w:left w:val="single" w:color="auto" w:sz="4" w:space="0"/>
              <w:bottom w:val="single" w:color="auto" w:sz="4" w:space="0"/>
              <w:right w:val="single" w:color="auto" w:sz="4" w:space="0"/>
            </w:tcBorders>
            <w:vAlign w:val="center"/>
          </w:tcPr>
          <w:p>
            <w:pPr>
              <w:spacing w:line="380" w:lineRule="exact"/>
              <w:rPr>
                <w:rFonts w:ascii="宋体" w:hAnsi="宋体" w:cs="宋体"/>
                <w:strike/>
                <w:color w:val="auto"/>
                <w:spacing w:val="-3"/>
                <w:kern w:val="0"/>
                <w:highlight w:val="none"/>
                <w:lang w:val="zh-CN" w:bidi="zh-CN"/>
              </w:rPr>
            </w:pPr>
            <w:r>
              <w:rPr>
                <w:rFonts w:hint="eastAsia" w:ascii="宋体" w:hAnsi="宋体" w:cs="宋体"/>
                <w:strike/>
                <w:color w:val="auto"/>
                <w:spacing w:val="-3"/>
                <w:kern w:val="0"/>
                <w:highlight w:val="none"/>
                <w:lang w:val="zh-CN" w:bidi="zh-CN"/>
              </w:rPr>
              <w:t>技术标评分标准表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atLeast"/>
          <w:jc w:val="center"/>
        </w:trPr>
        <w:tc>
          <w:tcPr>
            <w:tcW w:w="1348" w:type="dxa"/>
            <w:tcBorders>
              <w:top w:val="single" w:color="auto" w:sz="4" w:space="0"/>
              <w:left w:val="single" w:color="auto" w:sz="4" w:space="0"/>
              <w:bottom w:val="single" w:color="auto" w:sz="4" w:space="0"/>
              <w:right w:val="single" w:color="auto" w:sz="4" w:space="0"/>
            </w:tcBorders>
            <w:vAlign w:val="center"/>
          </w:tcPr>
          <w:p>
            <w:pPr>
              <w:spacing w:line="380" w:lineRule="exact"/>
              <w:rPr>
                <w:rFonts w:ascii="宋体" w:hAnsi="宋体" w:cs="宋体"/>
                <w:strike/>
                <w:color w:val="auto"/>
                <w:spacing w:val="-3"/>
                <w:kern w:val="0"/>
                <w:highlight w:val="none"/>
                <w:lang w:val="zh-CN" w:bidi="zh-CN"/>
              </w:rPr>
            </w:pPr>
            <w:r>
              <w:rPr>
                <w:rFonts w:hint="eastAsia" w:ascii="宋体" w:hAnsi="宋体" w:cs="宋体"/>
                <w:strike/>
                <w:color w:val="auto"/>
                <w:spacing w:val="-3"/>
                <w:kern w:val="0"/>
                <w:highlight w:val="none"/>
                <w:lang w:val="zh-CN" w:bidi="zh-CN"/>
              </w:rPr>
              <w:t>项   目</w:t>
            </w:r>
          </w:p>
        </w:tc>
        <w:tc>
          <w:tcPr>
            <w:tcW w:w="920" w:type="dxa"/>
            <w:tcBorders>
              <w:top w:val="single" w:color="auto" w:sz="4" w:space="0"/>
              <w:left w:val="single" w:color="auto" w:sz="4" w:space="0"/>
              <w:bottom w:val="single" w:color="auto" w:sz="4" w:space="0"/>
              <w:right w:val="single" w:color="auto" w:sz="4" w:space="0"/>
            </w:tcBorders>
            <w:vAlign w:val="center"/>
          </w:tcPr>
          <w:p>
            <w:pPr>
              <w:spacing w:line="380" w:lineRule="exact"/>
              <w:rPr>
                <w:rFonts w:ascii="宋体" w:hAnsi="宋体" w:cs="宋体"/>
                <w:strike/>
                <w:color w:val="auto"/>
                <w:spacing w:val="-3"/>
                <w:kern w:val="0"/>
                <w:highlight w:val="none"/>
                <w:lang w:val="zh-CN" w:bidi="zh-CN"/>
              </w:rPr>
            </w:pPr>
            <w:r>
              <w:rPr>
                <w:rFonts w:hint="eastAsia" w:ascii="宋体" w:hAnsi="宋体" w:cs="宋体"/>
                <w:strike/>
                <w:color w:val="auto"/>
                <w:spacing w:val="-3"/>
                <w:kern w:val="0"/>
                <w:highlight w:val="none"/>
                <w:lang w:val="zh-CN" w:bidi="zh-CN"/>
              </w:rPr>
              <w:t>分值</w:t>
            </w:r>
          </w:p>
        </w:tc>
        <w:tc>
          <w:tcPr>
            <w:tcW w:w="6204" w:type="dxa"/>
            <w:tcBorders>
              <w:top w:val="single" w:color="auto" w:sz="4" w:space="0"/>
              <w:left w:val="single" w:color="auto" w:sz="4" w:space="0"/>
              <w:bottom w:val="single" w:color="auto" w:sz="4" w:space="0"/>
              <w:right w:val="single" w:color="auto" w:sz="4" w:space="0"/>
            </w:tcBorders>
            <w:vAlign w:val="center"/>
          </w:tcPr>
          <w:p>
            <w:pPr>
              <w:spacing w:line="380" w:lineRule="exact"/>
              <w:rPr>
                <w:rFonts w:ascii="宋体" w:hAnsi="宋体" w:cs="宋体"/>
                <w:strike/>
                <w:color w:val="auto"/>
                <w:spacing w:val="-3"/>
                <w:kern w:val="0"/>
                <w:highlight w:val="none"/>
                <w:lang w:val="zh-CN" w:bidi="zh-CN"/>
              </w:rPr>
            </w:pPr>
            <w:r>
              <w:rPr>
                <w:rFonts w:hint="eastAsia" w:ascii="宋体" w:hAnsi="宋体" w:cs="宋体"/>
                <w:strike/>
                <w:color w:val="auto"/>
                <w:spacing w:val="-3"/>
                <w:kern w:val="0"/>
                <w:highlight w:val="none"/>
                <w:lang w:val="zh-CN" w:bidi="zh-CN"/>
              </w:rPr>
              <w:t>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1" w:hRule="atLeast"/>
          <w:jc w:val="center"/>
        </w:trPr>
        <w:tc>
          <w:tcPr>
            <w:tcW w:w="1348" w:type="dxa"/>
            <w:tcBorders>
              <w:top w:val="single" w:color="auto" w:sz="4" w:space="0"/>
              <w:left w:val="single" w:color="auto" w:sz="4" w:space="0"/>
              <w:bottom w:val="single" w:color="auto" w:sz="4" w:space="0"/>
              <w:right w:val="single" w:color="auto" w:sz="4" w:space="0"/>
            </w:tcBorders>
            <w:vAlign w:val="center"/>
          </w:tcPr>
          <w:p>
            <w:pPr>
              <w:spacing w:line="380" w:lineRule="exact"/>
              <w:rPr>
                <w:rFonts w:ascii="宋体" w:hAnsi="宋体" w:cs="宋体"/>
                <w:strike/>
                <w:color w:val="auto"/>
                <w:spacing w:val="-3"/>
                <w:kern w:val="0"/>
                <w:highlight w:val="none"/>
                <w:lang w:val="zh-CN" w:bidi="zh-CN"/>
              </w:rPr>
            </w:pPr>
            <w:r>
              <w:rPr>
                <w:rFonts w:hint="eastAsia" w:ascii="宋体" w:hAnsi="宋体" w:cs="宋体"/>
                <w:strike/>
                <w:color w:val="auto"/>
                <w:spacing w:val="-3"/>
                <w:kern w:val="0"/>
                <w:highlight w:val="none"/>
                <w:lang w:val="zh-CN" w:bidi="zh-CN"/>
              </w:rPr>
              <w:t>投标人资质</w:t>
            </w:r>
          </w:p>
        </w:tc>
        <w:tc>
          <w:tcPr>
            <w:tcW w:w="920" w:type="dxa"/>
            <w:tcBorders>
              <w:top w:val="single" w:color="auto" w:sz="4" w:space="0"/>
              <w:left w:val="single" w:color="auto" w:sz="4" w:space="0"/>
              <w:bottom w:val="single" w:color="auto" w:sz="4" w:space="0"/>
              <w:right w:val="single" w:color="auto" w:sz="4" w:space="0"/>
            </w:tcBorders>
            <w:vAlign w:val="center"/>
          </w:tcPr>
          <w:p>
            <w:pPr>
              <w:spacing w:line="380" w:lineRule="exact"/>
              <w:rPr>
                <w:rFonts w:ascii="宋体" w:hAnsi="宋体" w:cs="宋体"/>
                <w:strike/>
                <w:color w:val="auto"/>
                <w:spacing w:val="-3"/>
                <w:kern w:val="0"/>
                <w:highlight w:val="none"/>
                <w:lang w:val="zh-CN" w:bidi="zh-CN"/>
              </w:rPr>
            </w:pPr>
            <w:r>
              <w:rPr>
                <w:rFonts w:hint="eastAsia" w:ascii="宋体" w:hAnsi="宋体" w:cs="宋体"/>
                <w:strike/>
                <w:color w:val="auto"/>
                <w:spacing w:val="-3"/>
                <w:kern w:val="0"/>
                <w:highlight w:val="none"/>
                <w:lang w:val="zh-CN" w:bidi="zh-CN"/>
              </w:rPr>
              <w:t>3分</w:t>
            </w:r>
          </w:p>
        </w:tc>
        <w:tc>
          <w:tcPr>
            <w:tcW w:w="6204" w:type="dxa"/>
            <w:tcBorders>
              <w:top w:val="single" w:color="auto" w:sz="4" w:space="0"/>
              <w:left w:val="single" w:color="auto" w:sz="4" w:space="0"/>
              <w:bottom w:val="single" w:color="auto" w:sz="4" w:space="0"/>
              <w:right w:val="single" w:color="auto" w:sz="4" w:space="0"/>
            </w:tcBorders>
            <w:vAlign w:val="center"/>
          </w:tcPr>
          <w:p>
            <w:pPr>
              <w:pStyle w:val="31"/>
              <w:spacing w:before="1"/>
              <w:ind w:left="108"/>
              <w:jc w:val="left"/>
              <w:rPr>
                <w:color w:val="auto"/>
                <w:highlight w:val="none"/>
              </w:rPr>
            </w:pPr>
            <w:r>
              <w:rPr>
                <w:strike/>
                <w:color w:val="auto"/>
                <w:highlight w:val="none"/>
              </w:rPr>
              <w:t>（投标人资质要求已为最高资质的，可不设本评分标准）</w:t>
            </w:r>
          </w:p>
          <w:p>
            <w:pPr>
              <w:pStyle w:val="31"/>
              <w:spacing w:before="4"/>
              <w:ind w:left="108"/>
              <w:jc w:val="left"/>
              <w:rPr>
                <w:color w:val="auto"/>
                <w:highlight w:val="none"/>
              </w:rPr>
            </w:pPr>
            <w:r>
              <w:rPr>
                <w:strike/>
                <w:color w:val="auto"/>
                <w:highlight w:val="none"/>
              </w:rPr>
              <w:t>（1</w:t>
            </w:r>
            <w:r>
              <w:rPr>
                <w:strike/>
                <w:color w:val="auto"/>
                <w:spacing w:val="-3"/>
                <w:highlight w:val="none"/>
              </w:rPr>
              <w:t>）</w:t>
            </w:r>
            <w:r>
              <w:rPr>
                <w:strike/>
                <w:color w:val="auto"/>
                <w:spacing w:val="-2"/>
                <w:w w:val="201"/>
                <w:highlight w:val="none"/>
              </w:rPr>
              <w:t>„„</w:t>
            </w:r>
            <w:r>
              <w:rPr>
                <w:strike/>
                <w:color w:val="auto"/>
                <w:highlight w:val="none"/>
              </w:rPr>
              <w:t>得*分</w:t>
            </w:r>
          </w:p>
          <w:p>
            <w:pPr>
              <w:pStyle w:val="31"/>
              <w:spacing w:before="2"/>
              <w:ind w:left="108"/>
              <w:jc w:val="left"/>
              <w:rPr>
                <w:color w:val="auto"/>
                <w:highlight w:val="none"/>
              </w:rPr>
            </w:pPr>
            <w:r>
              <w:rPr>
                <w:strike/>
                <w:color w:val="auto"/>
                <w:highlight w:val="none"/>
              </w:rPr>
              <w:t>（2</w:t>
            </w:r>
            <w:r>
              <w:rPr>
                <w:strike/>
                <w:color w:val="auto"/>
                <w:spacing w:val="-3"/>
                <w:highlight w:val="none"/>
              </w:rPr>
              <w:t>）</w:t>
            </w:r>
            <w:r>
              <w:rPr>
                <w:strike/>
                <w:color w:val="auto"/>
                <w:spacing w:val="-2"/>
                <w:w w:val="201"/>
                <w:highlight w:val="none"/>
              </w:rPr>
              <w:t>„„</w:t>
            </w:r>
            <w:r>
              <w:rPr>
                <w:strike/>
                <w:color w:val="auto"/>
                <w:highlight w:val="none"/>
              </w:rPr>
              <w:t>得*分</w:t>
            </w:r>
          </w:p>
          <w:p>
            <w:pPr>
              <w:pStyle w:val="31"/>
              <w:spacing w:before="5"/>
              <w:ind w:left="633"/>
              <w:jc w:val="left"/>
              <w:rPr>
                <w:color w:val="auto"/>
                <w:highlight w:val="none"/>
              </w:rPr>
            </w:pPr>
            <w:r>
              <w:rPr>
                <w:strike/>
                <w:color w:val="auto"/>
                <w:w w:val="200"/>
                <w:highlight w:val="none"/>
              </w:rPr>
              <w:t>„„</w:t>
            </w:r>
          </w:p>
          <w:p>
            <w:pPr>
              <w:pStyle w:val="31"/>
              <w:tabs>
                <w:tab w:val="left" w:pos="5357"/>
              </w:tabs>
              <w:spacing w:before="2"/>
              <w:ind w:left="108"/>
              <w:jc w:val="left"/>
              <w:rPr>
                <w:color w:val="auto"/>
                <w:highlight w:val="none"/>
              </w:rPr>
            </w:pPr>
            <w:r>
              <w:rPr>
                <w:strike/>
                <w:color w:val="auto"/>
                <w:highlight w:val="none"/>
              </w:rPr>
              <w:t>需要</w:t>
            </w:r>
            <w:r>
              <w:rPr>
                <w:strike/>
                <w:color w:val="auto"/>
                <w:spacing w:val="-3"/>
                <w:highlight w:val="none"/>
              </w:rPr>
              <w:t>递</w:t>
            </w:r>
            <w:r>
              <w:rPr>
                <w:strike/>
                <w:color w:val="auto"/>
                <w:highlight w:val="none"/>
              </w:rPr>
              <w:t>交</w:t>
            </w:r>
            <w:r>
              <w:rPr>
                <w:strike/>
                <w:color w:val="auto"/>
                <w:spacing w:val="-3"/>
                <w:highlight w:val="none"/>
              </w:rPr>
              <w:t>的</w:t>
            </w:r>
            <w:r>
              <w:rPr>
                <w:strike/>
                <w:color w:val="auto"/>
                <w:highlight w:val="none"/>
              </w:rPr>
              <w:t>证</w:t>
            </w:r>
            <w:r>
              <w:rPr>
                <w:strike/>
                <w:color w:val="auto"/>
                <w:spacing w:val="-3"/>
                <w:highlight w:val="none"/>
              </w:rPr>
              <w:t>明</w:t>
            </w:r>
            <w:r>
              <w:rPr>
                <w:strike/>
                <w:color w:val="auto"/>
                <w:highlight w:val="none"/>
              </w:rPr>
              <w:t>资</w:t>
            </w:r>
            <w:r>
              <w:rPr>
                <w:strike/>
                <w:color w:val="auto"/>
                <w:spacing w:val="-3"/>
                <w:highlight w:val="none"/>
              </w:rPr>
              <w:t>料</w:t>
            </w:r>
            <w:r>
              <w:rPr>
                <w:strike/>
                <w:color w:val="auto"/>
                <w:highlight w:val="none"/>
              </w:rPr>
              <w:t>：</w:t>
            </w:r>
            <w:r>
              <w:rPr>
                <w:strike/>
                <w:color w:val="auto"/>
                <w:highlight w:val="none"/>
              </w:rPr>
              <w:tab/>
            </w:r>
          </w:p>
          <w:p>
            <w:pPr>
              <w:spacing w:line="380" w:lineRule="exact"/>
              <w:rPr>
                <w:rFonts w:ascii="宋体" w:hAnsi="宋体" w:cs="宋体"/>
                <w:strike/>
                <w:color w:val="auto"/>
                <w:spacing w:val="-3"/>
                <w:kern w:val="0"/>
                <w:highlight w:val="none"/>
                <w:lang w:val="zh-CN" w:bidi="zh-CN"/>
              </w:rPr>
            </w:pPr>
            <w:r>
              <w:rPr>
                <w:rFonts w:ascii="宋体" w:hAnsi="宋体"/>
                <w:strike/>
                <w:color w:val="auto"/>
                <w:highlight w:val="none"/>
              </w:rPr>
              <w:t>（已在资格审查资料中递交的，不需重复提交）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8" w:hRule="atLeast"/>
          <w:jc w:val="center"/>
        </w:trPr>
        <w:tc>
          <w:tcPr>
            <w:tcW w:w="1348" w:type="dxa"/>
            <w:tcBorders>
              <w:top w:val="single" w:color="auto" w:sz="4" w:space="0"/>
              <w:left w:val="single" w:color="auto" w:sz="4" w:space="0"/>
              <w:bottom w:val="single" w:color="auto" w:sz="4" w:space="0"/>
              <w:right w:val="single" w:color="auto" w:sz="4" w:space="0"/>
            </w:tcBorders>
            <w:vAlign w:val="center"/>
          </w:tcPr>
          <w:p>
            <w:pPr>
              <w:spacing w:line="380" w:lineRule="exact"/>
              <w:rPr>
                <w:rFonts w:ascii="宋体" w:hAnsi="宋体" w:cs="宋体"/>
                <w:strike/>
                <w:color w:val="auto"/>
                <w:spacing w:val="-3"/>
                <w:kern w:val="0"/>
                <w:highlight w:val="none"/>
                <w:lang w:val="zh-CN" w:bidi="zh-CN"/>
              </w:rPr>
            </w:pPr>
            <w:r>
              <w:rPr>
                <w:rFonts w:hint="eastAsia" w:ascii="宋体" w:hAnsi="宋体" w:cs="宋体"/>
                <w:strike/>
                <w:color w:val="auto"/>
                <w:spacing w:val="-3"/>
                <w:kern w:val="0"/>
                <w:highlight w:val="none"/>
                <w:lang w:val="zh-CN" w:bidi="zh-CN"/>
              </w:rPr>
              <w:t>项目负责人资格</w:t>
            </w:r>
          </w:p>
        </w:tc>
        <w:tc>
          <w:tcPr>
            <w:tcW w:w="920" w:type="dxa"/>
            <w:tcBorders>
              <w:top w:val="single" w:color="auto" w:sz="4" w:space="0"/>
              <w:left w:val="single" w:color="auto" w:sz="4" w:space="0"/>
              <w:bottom w:val="single" w:color="auto" w:sz="4" w:space="0"/>
              <w:right w:val="single" w:color="auto" w:sz="4" w:space="0"/>
            </w:tcBorders>
            <w:vAlign w:val="center"/>
          </w:tcPr>
          <w:p>
            <w:pPr>
              <w:spacing w:line="380" w:lineRule="exact"/>
              <w:rPr>
                <w:rFonts w:ascii="宋体" w:hAnsi="宋体" w:cs="宋体"/>
                <w:strike/>
                <w:color w:val="auto"/>
                <w:spacing w:val="-3"/>
                <w:kern w:val="0"/>
                <w:highlight w:val="none"/>
                <w:lang w:val="zh-CN" w:bidi="zh-CN"/>
              </w:rPr>
            </w:pPr>
            <w:r>
              <w:rPr>
                <w:rFonts w:hint="eastAsia" w:ascii="宋体" w:hAnsi="宋体" w:cs="宋体"/>
                <w:strike/>
                <w:color w:val="auto"/>
                <w:spacing w:val="-3"/>
                <w:kern w:val="0"/>
                <w:highlight w:val="none"/>
                <w:lang w:val="zh-CN" w:bidi="zh-CN"/>
              </w:rPr>
              <w:t>0-3分</w:t>
            </w:r>
          </w:p>
        </w:tc>
        <w:tc>
          <w:tcPr>
            <w:tcW w:w="6204" w:type="dxa"/>
            <w:tcBorders>
              <w:top w:val="single" w:color="auto" w:sz="4" w:space="0"/>
              <w:left w:val="single" w:color="auto" w:sz="4" w:space="0"/>
              <w:bottom w:val="single" w:color="auto" w:sz="4" w:space="0"/>
              <w:right w:val="single" w:color="auto" w:sz="4" w:space="0"/>
            </w:tcBorders>
          </w:tcPr>
          <w:p>
            <w:pPr>
              <w:pStyle w:val="31"/>
              <w:spacing w:before="1"/>
              <w:ind w:left="108"/>
              <w:jc w:val="left"/>
              <w:rPr>
                <w:color w:val="auto"/>
                <w:highlight w:val="none"/>
              </w:rPr>
            </w:pPr>
            <w:r>
              <w:rPr>
                <w:rFonts w:hint="eastAsia"/>
                <w:strike/>
                <w:color w:val="auto"/>
                <w:spacing w:val="-3"/>
                <w:kern w:val="0"/>
                <w:highlight w:val="none"/>
              </w:rPr>
              <w:t>（</w:t>
            </w:r>
            <w:r>
              <w:rPr>
                <w:strike/>
                <w:color w:val="auto"/>
                <w:highlight w:val="none"/>
              </w:rPr>
              <w:t>（1</w:t>
            </w:r>
            <w:r>
              <w:rPr>
                <w:strike/>
                <w:color w:val="auto"/>
                <w:spacing w:val="-3"/>
                <w:highlight w:val="none"/>
              </w:rPr>
              <w:t>）</w:t>
            </w:r>
            <w:r>
              <w:rPr>
                <w:strike/>
                <w:color w:val="auto"/>
                <w:spacing w:val="-2"/>
                <w:w w:val="201"/>
                <w:highlight w:val="none"/>
              </w:rPr>
              <w:t>„„</w:t>
            </w:r>
            <w:r>
              <w:rPr>
                <w:strike/>
                <w:color w:val="auto"/>
                <w:highlight w:val="none"/>
              </w:rPr>
              <w:t>得*</w:t>
            </w:r>
            <w:r>
              <w:rPr>
                <w:strike/>
                <w:color w:val="auto"/>
                <w:spacing w:val="-2"/>
                <w:highlight w:val="none"/>
              </w:rPr>
              <w:t>分;</w:t>
            </w:r>
          </w:p>
          <w:p>
            <w:pPr>
              <w:pStyle w:val="31"/>
              <w:spacing w:before="4"/>
              <w:ind w:left="108"/>
              <w:jc w:val="left"/>
              <w:rPr>
                <w:color w:val="auto"/>
                <w:highlight w:val="none"/>
              </w:rPr>
            </w:pPr>
            <w:r>
              <w:rPr>
                <w:strike/>
                <w:color w:val="auto"/>
                <w:highlight w:val="none"/>
              </w:rPr>
              <w:t>（2</w:t>
            </w:r>
            <w:r>
              <w:rPr>
                <w:strike/>
                <w:color w:val="auto"/>
                <w:spacing w:val="-3"/>
                <w:highlight w:val="none"/>
              </w:rPr>
              <w:t>）</w:t>
            </w:r>
            <w:r>
              <w:rPr>
                <w:strike/>
                <w:color w:val="auto"/>
                <w:spacing w:val="-2"/>
                <w:w w:val="201"/>
                <w:highlight w:val="none"/>
              </w:rPr>
              <w:t>„„</w:t>
            </w:r>
            <w:r>
              <w:rPr>
                <w:strike/>
                <w:color w:val="auto"/>
                <w:highlight w:val="none"/>
              </w:rPr>
              <w:t>得*</w:t>
            </w:r>
            <w:r>
              <w:rPr>
                <w:strike/>
                <w:color w:val="auto"/>
                <w:spacing w:val="-2"/>
                <w:highlight w:val="none"/>
              </w:rPr>
              <w:t>分;</w:t>
            </w:r>
          </w:p>
          <w:p>
            <w:pPr>
              <w:pStyle w:val="31"/>
              <w:spacing w:before="3"/>
              <w:ind w:left="633"/>
              <w:jc w:val="left"/>
              <w:rPr>
                <w:color w:val="auto"/>
                <w:highlight w:val="none"/>
              </w:rPr>
            </w:pPr>
            <w:r>
              <w:rPr>
                <w:strike/>
                <w:color w:val="auto"/>
                <w:w w:val="200"/>
                <w:highlight w:val="none"/>
              </w:rPr>
              <w:t>„„</w:t>
            </w:r>
          </w:p>
          <w:p>
            <w:pPr>
              <w:pStyle w:val="31"/>
              <w:tabs>
                <w:tab w:val="left" w:pos="5778"/>
              </w:tabs>
              <w:spacing w:before="5"/>
              <w:ind w:left="108"/>
              <w:jc w:val="left"/>
              <w:rPr>
                <w:color w:val="auto"/>
                <w:highlight w:val="none"/>
              </w:rPr>
            </w:pPr>
            <w:r>
              <w:rPr>
                <w:strike/>
                <w:color w:val="auto"/>
                <w:highlight w:val="none"/>
              </w:rPr>
              <w:t>需要</w:t>
            </w:r>
            <w:r>
              <w:rPr>
                <w:strike/>
                <w:color w:val="auto"/>
                <w:spacing w:val="-3"/>
                <w:highlight w:val="none"/>
              </w:rPr>
              <w:t>递</w:t>
            </w:r>
            <w:r>
              <w:rPr>
                <w:strike/>
                <w:color w:val="auto"/>
                <w:highlight w:val="none"/>
              </w:rPr>
              <w:t>交</w:t>
            </w:r>
            <w:r>
              <w:rPr>
                <w:strike/>
                <w:color w:val="auto"/>
                <w:spacing w:val="-3"/>
                <w:highlight w:val="none"/>
              </w:rPr>
              <w:t>的</w:t>
            </w:r>
            <w:r>
              <w:rPr>
                <w:strike/>
                <w:color w:val="auto"/>
                <w:highlight w:val="none"/>
              </w:rPr>
              <w:t>证</w:t>
            </w:r>
            <w:r>
              <w:rPr>
                <w:strike/>
                <w:color w:val="auto"/>
                <w:spacing w:val="-3"/>
                <w:highlight w:val="none"/>
              </w:rPr>
              <w:t>明</w:t>
            </w:r>
            <w:r>
              <w:rPr>
                <w:strike/>
                <w:color w:val="auto"/>
                <w:highlight w:val="none"/>
              </w:rPr>
              <w:t>资</w:t>
            </w:r>
            <w:r>
              <w:rPr>
                <w:strike/>
                <w:color w:val="auto"/>
                <w:spacing w:val="-3"/>
                <w:highlight w:val="none"/>
              </w:rPr>
              <w:t>料</w:t>
            </w:r>
            <w:r>
              <w:rPr>
                <w:strike/>
                <w:color w:val="auto"/>
                <w:highlight w:val="none"/>
              </w:rPr>
              <w:t>：</w:t>
            </w:r>
            <w:r>
              <w:rPr>
                <w:strike/>
                <w:color w:val="auto"/>
                <w:highlight w:val="none"/>
              </w:rPr>
              <w:tab/>
            </w:r>
          </w:p>
          <w:p>
            <w:pPr>
              <w:spacing w:line="380" w:lineRule="exact"/>
              <w:rPr>
                <w:rFonts w:ascii="宋体" w:hAnsi="宋体" w:cs="宋体"/>
                <w:strike/>
                <w:color w:val="auto"/>
                <w:spacing w:val="-3"/>
                <w:kern w:val="0"/>
                <w:highlight w:val="none"/>
                <w:lang w:val="zh-CN" w:bidi="zh-CN"/>
              </w:rPr>
            </w:pPr>
            <w:r>
              <w:rPr>
                <w:rFonts w:ascii="宋体" w:hAnsi="宋体"/>
                <w:strike/>
                <w:color w:val="auto"/>
                <w:highlight w:val="none"/>
              </w:rPr>
              <w:t>（已在资格审查资料中递交的，不需重复提交）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7" w:hRule="atLeast"/>
          <w:jc w:val="center"/>
        </w:trPr>
        <w:tc>
          <w:tcPr>
            <w:tcW w:w="1348" w:type="dxa"/>
            <w:tcBorders>
              <w:top w:val="single" w:color="auto" w:sz="4" w:space="0"/>
              <w:left w:val="single" w:color="auto" w:sz="4" w:space="0"/>
              <w:bottom w:val="single" w:color="auto" w:sz="4" w:space="0"/>
              <w:right w:val="single" w:color="auto" w:sz="4" w:space="0"/>
            </w:tcBorders>
            <w:vAlign w:val="center"/>
          </w:tcPr>
          <w:p>
            <w:pPr>
              <w:spacing w:line="380" w:lineRule="exact"/>
              <w:rPr>
                <w:rFonts w:ascii="宋体" w:hAnsi="宋体" w:cs="宋体"/>
                <w:strike/>
                <w:color w:val="auto"/>
                <w:spacing w:val="-3"/>
                <w:kern w:val="0"/>
                <w:highlight w:val="none"/>
                <w:lang w:val="zh-CN" w:bidi="zh-CN"/>
              </w:rPr>
            </w:pPr>
            <w:r>
              <w:rPr>
                <w:rFonts w:hint="eastAsia" w:ascii="宋体" w:hAnsi="宋体" w:cs="宋体"/>
                <w:strike/>
                <w:color w:val="auto"/>
                <w:spacing w:val="-3"/>
                <w:kern w:val="0"/>
                <w:highlight w:val="none"/>
                <w:lang w:val="zh-CN" w:bidi="zh-CN"/>
              </w:rPr>
              <w:t>项目组成员资格</w:t>
            </w:r>
          </w:p>
        </w:tc>
        <w:tc>
          <w:tcPr>
            <w:tcW w:w="920" w:type="dxa"/>
            <w:tcBorders>
              <w:top w:val="single" w:color="auto" w:sz="4" w:space="0"/>
              <w:left w:val="single" w:color="auto" w:sz="4" w:space="0"/>
              <w:bottom w:val="single" w:color="auto" w:sz="4" w:space="0"/>
              <w:right w:val="single" w:color="auto" w:sz="4" w:space="0"/>
            </w:tcBorders>
            <w:vAlign w:val="center"/>
          </w:tcPr>
          <w:p>
            <w:pPr>
              <w:spacing w:line="380" w:lineRule="exact"/>
              <w:rPr>
                <w:rFonts w:ascii="宋体" w:hAnsi="宋体" w:cs="宋体"/>
                <w:strike/>
                <w:color w:val="auto"/>
                <w:spacing w:val="-3"/>
                <w:kern w:val="0"/>
                <w:highlight w:val="none"/>
                <w:lang w:val="zh-CN" w:bidi="zh-CN"/>
              </w:rPr>
            </w:pPr>
            <w:r>
              <w:rPr>
                <w:rFonts w:hint="eastAsia" w:ascii="宋体" w:hAnsi="宋体" w:cs="宋体"/>
                <w:strike/>
                <w:color w:val="auto"/>
                <w:spacing w:val="-3"/>
                <w:kern w:val="0"/>
                <w:highlight w:val="none"/>
                <w:lang w:val="zh-CN" w:bidi="zh-CN"/>
              </w:rPr>
              <w:t>0-4分</w:t>
            </w:r>
          </w:p>
        </w:tc>
        <w:tc>
          <w:tcPr>
            <w:tcW w:w="6204" w:type="dxa"/>
            <w:tcBorders>
              <w:top w:val="single" w:color="auto" w:sz="4" w:space="0"/>
              <w:left w:val="single" w:color="auto" w:sz="4" w:space="0"/>
              <w:bottom w:val="single" w:color="auto" w:sz="4" w:space="0"/>
              <w:right w:val="single" w:color="auto" w:sz="4" w:space="0"/>
            </w:tcBorders>
            <w:vAlign w:val="center"/>
          </w:tcPr>
          <w:p>
            <w:pPr>
              <w:pStyle w:val="31"/>
              <w:spacing w:before="1"/>
              <w:ind w:left="108"/>
              <w:jc w:val="left"/>
              <w:rPr>
                <w:color w:val="auto"/>
                <w:highlight w:val="none"/>
              </w:rPr>
            </w:pPr>
            <w:r>
              <w:rPr>
                <w:strike/>
                <w:color w:val="auto"/>
                <w:highlight w:val="none"/>
              </w:rPr>
              <w:t>（1</w:t>
            </w:r>
            <w:r>
              <w:rPr>
                <w:strike/>
                <w:color w:val="auto"/>
                <w:spacing w:val="-3"/>
                <w:highlight w:val="none"/>
              </w:rPr>
              <w:t>）</w:t>
            </w:r>
            <w:r>
              <w:rPr>
                <w:strike/>
                <w:color w:val="auto"/>
                <w:spacing w:val="-2"/>
                <w:w w:val="201"/>
                <w:highlight w:val="none"/>
              </w:rPr>
              <w:t>„„</w:t>
            </w:r>
            <w:r>
              <w:rPr>
                <w:strike/>
                <w:color w:val="auto"/>
                <w:highlight w:val="none"/>
              </w:rPr>
              <w:t>得*</w:t>
            </w:r>
            <w:r>
              <w:rPr>
                <w:strike/>
                <w:color w:val="auto"/>
                <w:spacing w:val="-2"/>
                <w:highlight w:val="none"/>
              </w:rPr>
              <w:t>分;</w:t>
            </w:r>
          </w:p>
          <w:p>
            <w:pPr>
              <w:pStyle w:val="31"/>
              <w:spacing w:before="2"/>
              <w:ind w:left="108"/>
              <w:jc w:val="left"/>
              <w:rPr>
                <w:color w:val="auto"/>
                <w:highlight w:val="none"/>
              </w:rPr>
            </w:pPr>
            <w:r>
              <w:rPr>
                <w:strike/>
                <w:color w:val="auto"/>
                <w:highlight w:val="none"/>
              </w:rPr>
              <w:t>（2</w:t>
            </w:r>
            <w:r>
              <w:rPr>
                <w:strike/>
                <w:color w:val="auto"/>
                <w:spacing w:val="-3"/>
                <w:highlight w:val="none"/>
              </w:rPr>
              <w:t>）</w:t>
            </w:r>
            <w:r>
              <w:rPr>
                <w:strike/>
                <w:color w:val="auto"/>
                <w:spacing w:val="-2"/>
                <w:w w:val="201"/>
                <w:highlight w:val="none"/>
              </w:rPr>
              <w:t>„„</w:t>
            </w:r>
            <w:r>
              <w:rPr>
                <w:strike/>
                <w:color w:val="auto"/>
                <w:highlight w:val="none"/>
              </w:rPr>
              <w:t>得*</w:t>
            </w:r>
            <w:r>
              <w:rPr>
                <w:strike/>
                <w:color w:val="auto"/>
                <w:spacing w:val="-2"/>
                <w:highlight w:val="none"/>
              </w:rPr>
              <w:t>分;</w:t>
            </w:r>
          </w:p>
          <w:p>
            <w:pPr>
              <w:pStyle w:val="31"/>
              <w:spacing w:before="4"/>
              <w:ind w:left="633"/>
              <w:jc w:val="left"/>
              <w:rPr>
                <w:color w:val="auto"/>
                <w:highlight w:val="none"/>
              </w:rPr>
            </w:pPr>
            <w:r>
              <w:rPr>
                <w:strike/>
                <w:color w:val="auto"/>
                <w:w w:val="200"/>
                <w:highlight w:val="none"/>
              </w:rPr>
              <w:t>„„</w:t>
            </w:r>
          </w:p>
          <w:p>
            <w:pPr>
              <w:pStyle w:val="31"/>
              <w:tabs>
                <w:tab w:val="left" w:pos="5778"/>
              </w:tabs>
              <w:spacing w:before="3"/>
              <w:ind w:left="108"/>
              <w:jc w:val="left"/>
              <w:rPr>
                <w:color w:val="auto"/>
                <w:highlight w:val="none"/>
              </w:rPr>
            </w:pPr>
            <w:r>
              <w:rPr>
                <w:strike/>
                <w:color w:val="auto"/>
                <w:highlight w:val="none"/>
              </w:rPr>
              <w:t>需要</w:t>
            </w:r>
            <w:r>
              <w:rPr>
                <w:strike/>
                <w:color w:val="auto"/>
                <w:spacing w:val="-3"/>
                <w:highlight w:val="none"/>
              </w:rPr>
              <w:t>递</w:t>
            </w:r>
            <w:r>
              <w:rPr>
                <w:strike/>
                <w:color w:val="auto"/>
                <w:highlight w:val="none"/>
              </w:rPr>
              <w:t>交</w:t>
            </w:r>
            <w:r>
              <w:rPr>
                <w:strike/>
                <w:color w:val="auto"/>
                <w:spacing w:val="-3"/>
                <w:highlight w:val="none"/>
              </w:rPr>
              <w:t>的</w:t>
            </w:r>
            <w:r>
              <w:rPr>
                <w:strike/>
                <w:color w:val="auto"/>
                <w:highlight w:val="none"/>
              </w:rPr>
              <w:t>证</w:t>
            </w:r>
            <w:r>
              <w:rPr>
                <w:strike/>
                <w:color w:val="auto"/>
                <w:spacing w:val="-3"/>
                <w:highlight w:val="none"/>
              </w:rPr>
              <w:t>明</w:t>
            </w:r>
            <w:r>
              <w:rPr>
                <w:strike/>
                <w:color w:val="auto"/>
                <w:highlight w:val="none"/>
              </w:rPr>
              <w:t>资</w:t>
            </w:r>
            <w:r>
              <w:rPr>
                <w:strike/>
                <w:color w:val="auto"/>
                <w:spacing w:val="-3"/>
                <w:highlight w:val="none"/>
              </w:rPr>
              <w:t>料</w:t>
            </w:r>
            <w:r>
              <w:rPr>
                <w:strike/>
                <w:color w:val="auto"/>
                <w:highlight w:val="none"/>
              </w:rPr>
              <w:t>：</w:t>
            </w:r>
            <w:r>
              <w:rPr>
                <w:strike/>
                <w:color w:val="auto"/>
                <w:highlight w:val="none"/>
              </w:rPr>
              <w:tab/>
            </w:r>
          </w:p>
          <w:p>
            <w:pPr>
              <w:spacing w:line="380" w:lineRule="exact"/>
              <w:rPr>
                <w:rFonts w:ascii="宋体" w:hAnsi="宋体" w:cs="宋体"/>
                <w:strike/>
                <w:color w:val="auto"/>
                <w:spacing w:val="-3"/>
                <w:kern w:val="0"/>
                <w:highlight w:val="none"/>
                <w:lang w:val="zh-CN" w:bidi="zh-CN"/>
              </w:rPr>
            </w:pPr>
            <w:r>
              <w:rPr>
                <w:rFonts w:ascii="宋体" w:hAnsi="宋体"/>
                <w:strike/>
                <w:color w:val="auto"/>
                <w:highlight w:val="none"/>
              </w:rPr>
              <w:t>（已在资格审查资料中递交的，不需重复提交）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7" w:hRule="atLeast"/>
          <w:jc w:val="center"/>
        </w:trPr>
        <w:tc>
          <w:tcPr>
            <w:tcW w:w="1348" w:type="dxa"/>
            <w:tcBorders>
              <w:top w:val="single" w:color="auto" w:sz="4" w:space="0"/>
              <w:left w:val="single" w:color="auto" w:sz="4" w:space="0"/>
              <w:bottom w:val="single" w:color="auto" w:sz="4" w:space="0"/>
              <w:right w:val="single" w:color="auto" w:sz="4" w:space="0"/>
            </w:tcBorders>
            <w:vAlign w:val="center"/>
          </w:tcPr>
          <w:p>
            <w:pPr>
              <w:spacing w:line="380" w:lineRule="exact"/>
              <w:rPr>
                <w:rFonts w:ascii="宋体" w:hAnsi="宋体" w:cs="宋体"/>
                <w:strike/>
                <w:color w:val="auto"/>
                <w:spacing w:val="-3"/>
                <w:kern w:val="0"/>
                <w:highlight w:val="none"/>
                <w:lang w:val="zh-CN" w:bidi="zh-CN"/>
              </w:rPr>
            </w:pPr>
            <w:r>
              <w:rPr>
                <w:rFonts w:hint="eastAsia" w:ascii="宋体" w:hAnsi="宋体" w:cs="宋体"/>
                <w:strike/>
                <w:color w:val="auto"/>
                <w:spacing w:val="-3"/>
                <w:kern w:val="0"/>
                <w:highlight w:val="none"/>
                <w:lang w:val="zh-CN" w:bidi="zh-CN"/>
              </w:rPr>
              <w:t>投标人类似业绩</w:t>
            </w:r>
          </w:p>
        </w:tc>
        <w:tc>
          <w:tcPr>
            <w:tcW w:w="920" w:type="dxa"/>
            <w:tcBorders>
              <w:top w:val="single" w:color="auto" w:sz="4" w:space="0"/>
              <w:left w:val="single" w:color="auto" w:sz="4" w:space="0"/>
              <w:bottom w:val="single" w:color="auto" w:sz="4" w:space="0"/>
              <w:right w:val="single" w:color="auto" w:sz="4" w:space="0"/>
            </w:tcBorders>
            <w:vAlign w:val="center"/>
          </w:tcPr>
          <w:p>
            <w:pPr>
              <w:spacing w:line="380" w:lineRule="exact"/>
              <w:rPr>
                <w:rFonts w:ascii="宋体" w:hAnsi="宋体" w:cs="宋体"/>
                <w:strike/>
                <w:color w:val="auto"/>
                <w:spacing w:val="-3"/>
                <w:kern w:val="0"/>
                <w:highlight w:val="none"/>
                <w:lang w:val="zh-CN" w:bidi="zh-CN"/>
              </w:rPr>
            </w:pPr>
            <w:r>
              <w:rPr>
                <w:rFonts w:hint="eastAsia" w:ascii="宋体" w:hAnsi="宋体" w:cs="宋体"/>
                <w:strike/>
                <w:color w:val="auto"/>
                <w:spacing w:val="-3"/>
                <w:kern w:val="0"/>
                <w:highlight w:val="none"/>
                <w:lang w:val="zh-CN" w:bidi="zh-CN"/>
              </w:rPr>
              <w:t>0-4分</w:t>
            </w:r>
          </w:p>
        </w:tc>
        <w:tc>
          <w:tcPr>
            <w:tcW w:w="6204" w:type="dxa"/>
            <w:tcBorders>
              <w:top w:val="single" w:color="auto" w:sz="4" w:space="0"/>
              <w:left w:val="single" w:color="auto" w:sz="4" w:space="0"/>
              <w:bottom w:val="single" w:color="auto" w:sz="4" w:space="0"/>
              <w:right w:val="single" w:color="auto" w:sz="4" w:space="0"/>
            </w:tcBorders>
            <w:vAlign w:val="center"/>
          </w:tcPr>
          <w:p>
            <w:pPr>
              <w:pStyle w:val="31"/>
              <w:spacing w:before="1"/>
              <w:ind w:left="108"/>
              <w:jc w:val="left"/>
              <w:rPr>
                <w:color w:val="auto"/>
                <w:highlight w:val="none"/>
              </w:rPr>
            </w:pPr>
            <w:r>
              <w:rPr>
                <w:strike/>
                <w:color w:val="auto"/>
                <w:highlight w:val="none"/>
              </w:rPr>
              <w:t>（1</w:t>
            </w:r>
            <w:r>
              <w:rPr>
                <w:strike/>
                <w:color w:val="auto"/>
                <w:spacing w:val="-3"/>
                <w:highlight w:val="none"/>
              </w:rPr>
              <w:t>）</w:t>
            </w:r>
            <w:r>
              <w:rPr>
                <w:strike/>
                <w:color w:val="auto"/>
                <w:spacing w:val="-2"/>
                <w:w w:val="201"/>
                <w:highlight w:val="none"/>
              </w:rPr>
              <w:t>„„</w:t>
            </w:r>
            <w:r>
              <w:rPr>
                <w:strike/>
                <w:color w:val="auto"/>
                <w:highlight w:val="none"/>
              </w:rPr>
              <w:t>得*</w:t>
            </w:r>
            <w:r>
              <w:rPr>
                <w:strike/>
                <w:color w:val="auto"/>
                <w:spacing w:val="-2"/>
                <w:highlight w:val="none"/>
              </w:rPr>
              <w:t>分;</w:t>
            </w:r>
          </w:p>
          <w:p>
            <w:pPr>
              <w:pStyle w:val="31"/>
              <w:spacing w:before="2"/>
              <w:ind w:left="108"/>
              <w:jc w:val="left"/>
              <w:rPr>
                <w:color w:val="auto"/>
                <w:highlight w:val="none"/>
              </w:rPr>
            </w:pPr>
            <w:r>
              <w:rPr>
                <w:strike/>
                <w:color w:val="auto"/>
                <w:highlight w:val="none"/>
              </w:rPr>
              <w:t>（2</w:t>
            </w:r>
            <w:r>
              <w:rPr>
                <w:strike/>
                <w:color w:val="auto"/>
                <w:spacing w:val="-3"/>
                <w:highlight w:val="none"/>
              </w:rPr>
              <w:t>）</w:t>
            </w:r>
            <w:r>
              <w:rPr>
                <w:strike/>
                <w:color w:val="auto"/>
                <w:spacing w:val="-2"/>
                <w:w w:val="201"/>
                <w:highlight w:val="none"/>
              </w:rPr>
              <w:t>„„</w:t>
            </w:r>
            <w:r>
              <w:rPr>
                <w:strike/>
                <w:color w:val="auto"/>
                <w:highlight w:val="none"/>
              </w:rPr>
              <w:t>得*</w:t>
            </w:r>
            <w:r>
              <w:rPr>
                <w:strike/>
                <w:color w:val="auto"/>
                <w:spacing w:val="-2"/>
                <w:highlight w:val="none"/>
              </w:rPr>
              <w:t>分;</w:t>
            </w:r>
          </w:p>
          <w:p>
            <w:pPr>
              <w:pStyle w:val="31"/>
              <w:spacing w:before="4"/>
              <w:ind w:left="633"/>
              <w:jc w:val="left"/>
              <w:rPr>
                <w:color w:val="auto"/>
                <w:highlight w:val="none"/>
              </w:rPr>
            </w:pPr>
            <w:r>
              <w:rPr>
                <w:strike/>
                <w:color w:val="auto"/>
                <w:w w:val="200"/>
                <w:highlight w:val="none"/>
              </w:rPr>
              <w:t>„„</w:t>
            </w:r>
          </w:p>
          <w:p>
            <w:pPr>
              <w:pStyle w:val="31"/>
              <w:tabs>
                <w:tab w:val="left" w:pos="5778"/>
              </w:tabs>
              <w:spacing w:before="3"/>
              <w:ind w:left="108"/>
              <w:jc w:val="left"/>
              <w:rPr>
                <w:color w:val="auto"/>
                <w:highlight w:val="none"/>
              </w:rPr>
            </w:pPr>
            <w:r>
              <w:rPr>
                <w:strike/>
                <w:color w:val="auto"/>
                <w:highlight w:val="none"/>
              </w:rPr>
              <w:t>需要</w:t>
            </w:r>
            <w:r>
              <w:rPr>
                <w:strike/>
                <w:color w:val="auto"/>
                <w:spacing w:val="-3"/>
                <w:highlight w:val="none"/>
              </w:rPr>
              <w:t>递</w:t>
            </w:r>
            <w:r>
              <w:rPr>
                <w:strike/>
                <w:color w:val="auto"/>
                <w:highlight w:val="none"/>
              </w:rPr>
              <w:t>交</w:t>
            </w:r>
            <w:r>
              <w:rPr>
                <w:strike/>
                <w:color w:val="auto"/>
                <w:spacing w:val="-3"/>
                <w:highlight w:val="none"/>
              </w:rPr>
              <w:t>的</w:t>
            </w:r>
            <w:r>
              <w:rPr>
                <w:strike/>
                <w:color w:val="auto"/>
                <w:highlight w:val="none"/>
              </w:rPr>
              <w:t>证</w:t>
            </w:r>
            <w:r>
              <w:rPr>
                <w:strike/>
                <w:color w:val="auto"/>
                <w:spacing w:val="-3"/>
                <w:highlight w:val="none"/>
              </w:rPr>
              <w:t>明</w:t>
            </w:r>
            <w:r>
              <w:rPr>
                <w:strike/>
                <w:color w:val="auto"/>
                <w:highlight w:val="none"/>
              </w:rPr>
              <w:t>资</w:t>
            </w:r>
            <w:r>
              <w:rPr>
                <w:strike/>
                <w:color w:val="auto"/>
                <w:spacing w:val="-3"/>
                <w:highlight w:val="none"/>
              </w:rPr>
              <w:t>料</w:t>
            </w:r>
            <w:r>
              <w:rPr>
                <w:strike/>
                <w:color w:val="auto"/>
                <w:highlight w:val="none"/>
              </w:rPr>
              <w:t>：</w:t>
            </w:r>
            <w:r>
              <w:rPr>
                <w:strike/>
                <w:color w:val="auto"/>
                <w:highlight w:val="none"/>
              </w:rPr>
              <w:tab/>
            </w:r>
          </w:p>
          <w:p>
            <w:pPr>
              <w:spacing w:line="380" w:lineRule="exact"/>
              <w:rPr>
                <w:rFonts w:ascii="宋体" w:hAnsi="宋体" w:cs="宋体"/>
                <w:strike/>
                <w:color w:val="auto"/>
                <w:spacing w:val="-3"/>
                <w:kern w:val="0"/>
                <w:highlight w:val="none"/>
                <w:lang w:val="zh-CN" w:bidi="zh-CN"/>
              </w:rPr>
            </w:pPr>
            <w:r>
              <w:rPr>
                <w:rFonts w:ascii="宋体" w:hAnsi="宋体"/>
                <w:strike/>
                <w:color w:val="auto"/>
                <w:highlight w:val="none"/>
              </w:rPr>
              <w:t>（已在资格审查资料中递交的，不需重复提交）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1348" w:type="dxa"/>
            <w:tcBorders>
              <w:top w:val="single" w:color="auto" w:sz="4" w:space="0"/>
              <w:left w:val="single" w:color="auto" w:sz="4" w:space="0"/>
              <w:bottom w:val="single" w:color="auto" w:sz="4" w:space="0"/>
              <w:right w:val="single" w:color="auto" w:sz="4" w:space="0"/>
            </w:tcBorders>
            <w:vAlign w:val="center"/>
          </w:tcPr>
          <w:p>
            <w:pPr>
              <w:spacing w:line="380" w:lineRule="exact"/>
              <w:rPr>
                <w:rFonts w:ascii="宋体" w:hAnsi="宋体" w:cs="宋体"/>
                <w:strike/>
                <w:color w:val="auto"/>
                <w:spacing w:val="-3"/>
                <w:kern w:val="0"/>
                <w:highlight w:val="none"/>
                <w:lang w:val="zh-CN" w:bidi="zh-CN"/>
              </w:rPr>
            </w:pPr>
            <w:r>
              <w:rPr>
                <w:rFonts w:hint="eastAsia" w:ascii="宋体" w:hAnsi="宋体" w:cs="宋体"/>
                <w:strike/>
                <w:color w:val="auto"/>
                <w:spacing w:val="-3"/>
                <w:kern w:val="0"/>
                <w:highlight w:val="none"/>
                <w:lang w:val="zh-CN" w:bidi="zh-CN"/>
              </w:rPr>
              <w:t>有关服务</w:t>
            </w:r>
          </w:p>
          <w:p>
            <w:pPr>
              <w:spacing w:line="380" w:lineRule="exact"/>
              <w:rPr>
                <w:rFonts w:ascii="宋体" w:hAnsi="宋体" w:cs="宋体"/>
                <w:strike/>
                <w:color w:val="auto"/>
                <w:spacing w:val="-3"/>
                <w:kern w:val="0"/>
                <w:highlight w:val="none"/>
                <w:lang w:val="zh-CN" w:bidi="zh-CN"/>
              </w:rPr>
            </w:pPr>
            <w:r>
              <w:rPr>
                <w:rFonts w:hint="eastAsia" w:ascii="宋体" w:hAnsi="宋体" w:cs="宋体"/>
                <w:strike/>
                <w:color w:val="auto"/>
                <w:spacing w:val="-3"/>
                <w:kern w:val="0"/>
                <w:highlight w:val="none"/>
                <w:lang w:val="zh-CN" w:bidi="zh-CN"/>
              </w:rPr>
              <w:t>承诺</w:t>
            </w:r>
          </w:p>
        </w:tc>
        <w:tc>
          <w:tcPr>
            <w:tcW w:w="920" w:type="dxa"/>
            <w:tcBorders>
              <w:top w:val="single" w:color="auto" w:sz="4" w:space="0"/>
              <w:left w:val="single" w:color="auto" w:sz="4" w:space="0"/>
              <w:bottom w:val="single" w:color="auto" w:sz="4" w:space="0"/>
              <w:right w:val="single" w:color="auto" w:sz="4" w:space="0"/>
            </w:tcBorders>
            <w:vAlign w:val="center"/>
          </w:tcPr>
          <w:p>
            <w:pPr>
              <w:spacing w:line="380" w:lineRule="exact"/>
              <w:rPr>
                <w:rFonts w:ascii="宋体" w:hAnsi="宋体" w:cs="宋体"/>
                <w:strike/>
                <w:color w:val="auto"/>
                <w:spacing w:val="-3"/>
                <w:kern w:val="0"/>
                <w:highlight w:val="none"/>
                <w:lang w:val="zh-CN" w:bidi="zh-CN"/>
              </w:rPr>
            </w:pPr>
            <w:r>
              <w:rPr>
                <w:rFonts w:hint="eastAsia" w:ascii="宋体" w:hAnsi="宋体" w:cs="宋体"/>
                <w:strike/>
                <w:color w:val="auto"/>
                <w:spacing w:val="-3"/>
                <w:kern w:val="0"/>
                <w:highlight w:val="none"/>
                <w:lang w:val="zh-CN" w:bidi="zh-CN"/>
              </w:rPr>
              <w:t>0-2分</w:t>
            </w:r>
          </w:p>
        </w:tc>
        <w:tc>
          <w:tcPr>
            <w:tcW w:w="6204" w:type="dxa"/>
            <w:tcBorders>
              <w:top w:val="single" w:color="auto" w:sz="4" w:space="0"/>
              <w:left w:val="single" w:color="auto" w:sz="4" w:space="0"/>
              <w:bottom w:val="single" w:color="auto" w:sz="4" w:space="0"/>
              <w:right w:val="single" w:color="auto" w:sz="4" w:space="0"/>
            </w:tcBorders>
            <w:vAlign w:val="center"/>
          </w:tcPr>
          <w:p>
            <w:pPr>
              <w:spacing w:line="380" w:lineRule="exact"/>
              <w:rPr>
                <w:rFonts w:ascii="宋体" w:hAnsi="宋体" w:cs="宋体"/>
                <w:strike/>
                <w:color w:val="auto"/>
                <w:spacing w:val="-3"/>
                <w:kern w:val="0"/>
                <w:highlight w:val="none"/>
                <w:lang w:val="zh-CN" w:bidi="zh-CN"/>
              </w:rPr>
            </w:pPr>
            <w:r>
              <w:rPr>
                <w:rFonts w:ascii="宋体" w:hAnsi="宋体"/>
                <w:strike/>
                <w:color w:val="auto"/>
                <w:spacing w:val="-10"/>
                <w:highlight w:val="none"/>
              </w:rPr>
              <w:t>质量保证制度严密扎实；人员配备数量足，力量强；服务和配合工作措施</w:t>
            </w:r>
            <w:r>
              <w:rPr>
                <w:rFonts w:ascii="宋体" w:hAnsi="宋体"/>
                <w:strike/>
                <w:color w:val="auto"/>
                <w:spacing w:val="-206"/>
                <w:highlight w:val="none"/>
              </w:rPr>
              <w:t>有效</w:t>
            </w:r>
            <w:r>
              <w:rPr>
                <w:rFonts w:ascii="宋体" w:hAnsi="宋体"/>
                <w:strike/>
                <w:color w:val="auto"/>
                <w:spacing w:val="-3"/>
                <w:highlight w:val="none"/>
              </w:rPr>
              <w:t>；时间和进度安排科学合理等。格式由投标人自拟。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348" w:type="dxa"/>
            <w:tcBorders>
              <w:top w:val="single" w:color="auto" w:sz="4" w:space="0"/>
              <w:left w:val="single" w:color="auto" w:sz="4" w:space="0"/>
              <w:bottom w:val="single" w:color="auto" w:sz="4" w:space="0"/>
              <w:right w:val="single" w:color="auto" w:sz="4" w:space="0"/>
            </w:tcBorders>
            <w:vAlign w:val="center"/>
          </w:tcPr>
          <w:p>
            <w:pPr>
              <w:spacing w:line="380" w:lineRule="exact"/>
              <w:rPr>
                <w:rFonts w:ascii="宋体" w:hAnsi="宋体" w:cs="宋体"/>
                <w:strike/>
                <w:color w:val="auto"/>
                <w:spacing w:val="-3"/>
                <w:kern w:val="0"/>
                <w:highlight w:val="none"/>
                <w:lang w:val="zh-CN" w:bidi="zh-CN"/>
              </w:rPr>
            </w:pPr>
            <w:r>
              <w:rPr>
                <w:rFonts w:hint="eastAsia" w:ascii="宋体" w:hAnsi="宋体" w:cs="宋体"/>
                <w:strike/>
                <w:color w:val="auto"/>
                <w:spacing w:val="-3"/>
                <w:kern w:val="0"/>
                <w:highlight w:val="none"/>
                <w:lang w:val="zh-CN" w:bidi="zh-CN"/>
              </w:rPr>
              <w:t>企业诚信</w:t>
            </w:r>
          </w:p>
        </w:tc>
        <w:tc>
          <w:tcPr>
            <w:tcW w:w="920" w:type="dxa"/>
            <w:tcBorders>
              <w:top w:val="single" w:color="auto" w:sz="4" w:space="0"/>
              <w:left w:val="single" w:color="auto" w:sz="4" w:space="0"/>
              <w:bottom w:val="single" w:color="auto" w:sz="4" w:space="0"/>
              <w:right w:val="single" w:color="auto" w:sz="4" w:space="0"/>
            </w:tcBorders>
            <w:vAlign w:val="center"/>
          </w:tcPr>
          <w:p>
            <w:pPr>
              <w:spacing w:line="380" w:lineRule="exact"/>
              <w:rPr>
                <w:rFonts w:ascii="宋体" w:hAnsi="宋体" w:cs="宋体"/>
                <w:strike/>
                <w:color w:val="auto"/>
                <w:spacing w:val="-3"/>
                <w:kern w:val="0"/>
                <w:highlight w:val="none"/>
                <w:lang w:val="zh-CN" w:bidi="zh-CN"/>
              </w:rPr>
            </w:pPr>
            <w:r>
              <w:rPr>
                <w:rFonts w:hint="eastAsia" w:ascii="宋体" w:hAnsi="宋体" w:cs="宋体"/>
                <w:strike/>
                <w:color w:val="auto"/>
                <w:spacing w:val="-3"/>
                <w:kern w:val="0"/>
                <w:highlight w:val="none"/>
                <w:lang w:val="zh-CN" w:bidi="zh-CN"/>
              </w:rPr>
              <w:t>0-4分</w:t>
            </w:r>
          </w:p>
        </w:tc>
        <w:tc>
          <w:tcPr>
            <w:tcW w:w="6204" w:type="dxa"/>
            <w:tcBorders>
              <w:top w:val="single" w:color="auto" w:sz="4" w:space="0"/>
              <w:left w:val="single" w:color="auto" w:sz="4" w:space="0"/>
              <w:bottom w:val="single" w:color="auto" w:sz="4" w:space="0"/>
              <w:right w:val="single" w:color="auto" w:sz="4" w:space="0"/>
            </w:tcBorders>
            <w:vAlign w:val="center"/>
          </w:tcPr>
          <w:p>
            <w:pPr>
              <w:pStyle w:val="31"/>
              <w:spacing w:before="1" w:line="242" w:lineRule="auto"/>
              <w:ind w:left="468" w:right="55" w:hanging="360"/>
              <w:jc w:val="both"/>
              <w:rPr>
                <w:color w:val="auto"/>
                <w:highlight w:val="none"/>
              </w:rPr>
            </w:pPr>
            <w:r>
              <w:rPr>
                <w:strike/>
                <w:color w:val="auto"/>
                <w:highlight w:val="none"/>
              </w:rPr>
              <w:t>1</w:t>
            </w:r>
            <w:r>
              <w:rPr>
                <w:strike/>
                <w:color w:val="auto"/>
                <w:spacing w:val="-5"/>
                <w:highlight w:val="none"/>
              </w:rPr>
              <w:t>、 投标人或项目负责人在近二年内代理</w:t>
            </w:r>
            <w:r>
              <w:rPr>
                <w:strike/>
                <w:color w:val="auto"/>
                <w:highlight w:val="none"/>
              </w:rPr>
              <w:t>（</w:t>
            </w:r>
            <w:r>
              <w:rPr>
                <w:strike/>
                <w:color w:val="auto"/>
                <w:spacing w:val="-2"/>
                <w:highlight w:val="none"/>
              </w:rPr>
              <w:t>咨询</w:t>
            </w:r>
            <w:r>
              <w:rPr>
                <w:strike/>
                <w:color w:val="auto"/>
                <w:spacing w:val="-3"/>
                <w:highlight w:val="none"/>
              </w:rPr>
              <w:t>）工作中没有受过司法、</w:t>
            </w:r>
            <w:r>
              <w:rPr>
                <w:strike/>
                <w:color w:val="auto"/>
                <w:spacing w:val="-212"/>
                <w:highlight w:val="none"/>
              </w:rPr>
              <w:t>招</w:t>
            </w:r>
            <w:r>
              <w:rPr>
                <w:strike/>
                <w:color w:val="auto"/>
                <w:spacing w:val="-21"/>
                <w:highlight w:val="none"/>
              </w:rPr>
              <w:t xml:space="preserve">投标监管部门的查处或处罚得 </w:t>
            </w:r>
            <w:r>
              <w:rPr>
                <w:strike/>
                <w:color w:val="auto"/>
                <w:highlight w:val="none"/>
              </w:rPr>
              <w:t>2</w:t>
            </w:r>
            <w:r>
              <w:rPr>
                <w:strike/>
                <w:color w:val="auto"/>
                <w:spacing w:val="-11"/>
                <w:highlight w:val="none"/>
              </w:rPr>
              <w:t xml:space="preserve"> 分，否则不得分。投标人对其信用情况</w:t>
            </w:r>
            <w:r>
              <w:rPr>
                <w:strike/>
                <w:color w:val="auto"/>
                <w:spacing w:val="-3"/>
                <w:highlight w:val="none"/>
              </w:rPr>
              <w:t>作出说明，格式由投标人自拟。</w:t>
            </w:r>
          </w:p>
          <w:p>
            <w:pPr>
              <w:pStyle w:val="31"/>
              <w:tabs>
                <w:tab w:val="left" w:pos="3041"/>
              </w:tabs>
              <w:spacing w:before="3" w:line="242" w:lineRule="auto"/>
              <w:ind w:left="468" w:right="7" w:hanging="360"/>
              <w:jc w:val="both"/>
              <w:rPr>
                <w:color w:val="auto"/>
                <w:highlight w:val="none"/>
              </w:rPr>
            </w:pPr>
            <w:r>
              <w:rPr>
                <w:strike/>
                <w:color w:val="auto"/>
                <w:highlight w:val="none"/>
              </w:rPr>
              <w:t>2、会员</w:t>
            </w:r>
            <w:r>
              <w:rPr>
                <w:strike/>
                <w:color w:val="auto"/>
                <w:spacing w:val="-3"/>
                <w:highlight w:val="none"/>
              </w:rPr>
              <w:t>考</w:t>
            </w:r>
            <w:r>
              <w:rPr>
                <w:strike/>
                <w:color w:val="auto"/>
                <w:highlight w:val="none"/>
              </w:rPr>
              <w:t>核</w:t>
            </w:r>
            <w:r>
              <w:rPr>
                <w:strike/>
                <w:color w:val="auto"/>
                <w:spacing w:val="-3"/>
                <w:highlight w:val="none"/>
              </w:rPr>
              <w:t>（</w:t>
            </w:r>
            <w:r>
              <w:rPr>
                <w:strike/>
                <w:color w:val="auto"/>
                <w:highlight w:val="none"/>
              </w:rPr>
              <w:t>2</w:t>
            </w:r>
            <w:r>
              <w:rPr>
                <w:strike/>
                <w:color w:val="auto"/>
                <w:spacing w:val="-3"/>
                <w:highlight w:val="none"/>
              </w:rPr>
              <w:t>分</w:t>
            </w:r>
            <w:r>
              <w:rPr>
                <w:strike/>
                <w:color w:val="auto"/>
                <w:spacing w:val="-106"/>
                <w:highlight w:val="none"/>
              </w:rPr>
              <w:t>）</w:t>
            </w:r>
            <w:r>
              <w:rPr>
                <w:strike/>
                <w:color w:val="auto"/>
                <w:spacing w:val="-3"/>
                <w:highlight w:val="none"/>
              </w:rPr>
              <w:t>：</w:t>
            </w:r>
            <w:r>
              <w:rPr>
                <w:strike/>
                <w:color w:val="auto"/>
                <w:spacing w:val="-1"/>
                <w:highlight w:val="none"/>
              </w:rPr>
              <w:t>在</w:t>
            </w:r>
            <w:r>
              <w:rPr>
                <w:strike/>
                <w:color w:val="auto"/>
                <w:highlight w:val="none"/>
                <w:u w:val="single"/>
              </w:rPr>
              <w:tab/>
            </w:r>
            <w:r>
              <w:rPr>
                <w:strike/>
                <w:color w:val="auto"/>
                <w:highlight w:val="none"/>
              </w:rPr>
              <w:t>年</w:t>
            </w:r>
            <w:r>
              <w:rPr>
                <w:strike/>
                <w:color w:val="auto"/>
                <w:spacing w:val="-3"/>
                <w:highlight w:val="none"/>
              </w:rPr>
              <w:t>第</w:t>
            </w:r>
            <w:r>
              <w:rPr>
                <w:strike/>
                <w:color w:val="auto"/>
                <w:highlight w:val="none"/>
              </w:rPr>
              <w:t>度</w:t>
            </w:r>
            <w:r>
              <w:rPr>
                <w:strike/>
                <w:color w:val="auto"/>
                <w:spacing w:val="-3"/>
                <w:highlight w:val="none"/>
              </w:rPr>
              <w:t>考</w:t>
            </w:r>
            <w:r>
              <w:rPr>
                <w:strike/>
                <w:color w:val="auto"/>
                <w:highlight w:val="none"/>
              </w:rPr>
              <w:t>核</w:t>
            </w:r>
            <w:r>
              <w:rPr>
                <w:strike/>
                <w:color w:val="auto"/>
                <w:spacing w:val="-3"/>
                <w:highlight w:val="none"/>
              </w:rPr>
              <w:t>中</w:t>
            </w:r>
            <w:r>
              <w:rPr>
                <w:strike/>
                <w:color w:val="auto"/>
                <w:highlight w:val="none"/>
              </w:rPr>
              <w:t>，</w:t>
            </w:r>
            <w:r>
              <w:rPr>
                <w:strike/>
                <w:color w:val="auto"/>
                <w:spacing w:val="-3"/>
                <w:highlight w:val="none"/>
              </w:rPr>
              <w:t>五</w:t>
            </w:r>
            <w:r>
              <w:rPr>
                <w:strike/>
                <w:color w:val="auto"/>
                <w:highlight w:val="none"/>
              </w:rPr>
              <w:t>星级</w:t>
            </w:r>
            <w:r>
              <w:rPr>
                <w:strike/>
                <w:color w:val="auto"/>
                <w:spacing w:val="-3"/>
                <w:highlight w:val="none"/>
              </w:rPr>
              <w:t>单位</w:t>
            </w:r>
            <w:r>
              <w:rPr>
                <w:strike/>
                <w:color w:val="auto"/>
                <w:highlight w:val="none"/>
              </w:rPr>
              <w:t>得2</w:t>
            </w:r>
            <w:r>
              <w:rPr>
                <w:strike/>
                <w:color w:val="auto"/>
                <w:spacing w:val="-3"/>
                <w:highlight w:val="none"/>
              </w:rPr>
              <w:t>分，</w:t>
            </w:r>
            <w:r>
              <w:rPr>
                <w:strike/>
                <w:color w:val="auto"/>
                <w:highlight w:val="none"/>
              </w:rPr>
              <w:t>四星</w:t>
            </w:r>
            <w:r>
              <w:rPr>
                <w:strike/>
                <w:color w:val="auto"/>
                <w:spacing w:val="-3"/>
                <w:highlight w:val="none"/>
              </w:rPr>
              <w:t>级</w:t>
            </w:r>
            <w:r>
              <w:rPr>
                <w:strike/>
                <w:color w:val="auto"/>
                <w:highlight w:val="none"/>
              </w:rPr>
              <w:t>单</w:t>
            </w:r>
            <w:r>
              <w:rPr>
                <w:strike/>
                <w:color w:val="auto"/>
                <w:spacing w:val="-3"/>
                <w:highlight w:val="none"/>
              </w:rPr>
              <w:t>位</w:t>
            </w:r>
            <w:r>
              <w:rPr>
                <w:strike/>
                <w:color w:val="auto"/>
                <w:highlight w:val="none"/>
              </w:rPr>
              <w:t>得1分</w:t>
            </w:r>
            <w:r>
              <w:rPr>
                <w:strike/>
                <w:color w:val="auto"/>
                <w:spacing w:val="-3"/>
                <w:highlight w:val="none"/>
              </w:rPr>
              <w:t>，</w:t>
            </w:r>
            <w:r>
              <w:rPr>
                <w:strike/>
                <w:color w:val="auto"/>
                <w:highlight w:val="none"/>
              </w:rPr>
              <w:t>三</w:t>
            </w:r>
            <w:r>
              <w:rPr>
                <w:strike/>
                <w:color w:val="auto"/>
                <w:spacing w:val="-3"/>
                <w:highlight w:val="none"/>
              </w:rPr>
              <w:t>星</w:t>
            </w:r>
            <w:r>
              <w:rPr>
                <w:strike/>
                <w:color w:val="auto"/>
                <w:highlight w:val="none"/>
              </w:rPr>
              <w:t>级单</w:t>
            </w:r>
            <w:r>
              <w:rPr>
                <w:strike/>
                <w:color w:val="auto"/>
                <w:spacing w:val="-3"/>
                <w:highlight w:val="none"/>
              </w:rPr>
              <w:t>位</w:t>
            </w:r>
            <w:r>
              <w:rPr>
                <w:strike/>
                <w:color w:val="auto"/>
                <w:highlight w:val="none"/>
              </w:rPr>
              <w:t>得0.5</w:t>
            </w:r>
            <w:r>
              <w:rPr>
                <w:strike/>
                <w:color w:val="auto"/>
                <w:spacing w:val="-3"/>
                <w:highlight w:val="none"/>
              </w:rPr>
              <w:t>分</w:t>
            </w:r>
            <w:r>
              <w:rPr>
                <w:strike/>
                <w:color w:val="auto"/>
                <w:highlight w:val="none"/>
              </w:rPr>
              <w:t>，</w:t>
            </w:r>
            <w:r>
              <w:rPr>
                <w:strike/>
                <w:color w:val="auto"/>
                <w:spacing w:val="-3"/>
                <w:highlight w:val="none"/>
              </w:rPr>
              <w:t>没</w:t>
            </w:r>
            <w:r>
              <w:rPr>
                <w:strike/>
                <w:color w:val="auto"/>
                <w:highlight w:val="none"/>
              </w:rPr>
              <w:t>有</w:t>
            </w:r>
            <w:r>
              <w:rPr>
                <w:strike/>
                <w:color w:val="auto"/>
                <w:spacing w:val="-3"/>
                <w:highlight w:val="none"/>
              </w:rPr>
              <w:t>星</w:t>
            </w:r>
            <w:r>
              <w:rPr>
                <w:strike/>
                <w:color w:val="auto"/>
                <w:highlight w:val="none"/>
              </w:rPr>
              <w:t>级的</w:t>
            </w:r>
            <w:r>
              <w:rPr>
                <w:strike/>
                <w:color w:val="auto"/>
                <w:spacing w:val="-3"/>
                <w:highlight w:val="none"/>
              </w:rPr>
              <w:t>单</w:t>
            </w:r>
            <w:r>
              <w:rPr>
                <w:strike/>
                <w:color w:val="auto"/>
                <w:highlight w:val="none"/>
              </w:rPr>
              <w:t>位</w:t>
            </w:r>
            <w:r>
              <w:rPr>
                <w:strike/>
                <w:color w:val="auto"/>
                <w:spacing w:val="-3"/>
                <w:highlight w:val="none"/>
              </w:rPr>
              <w:t>不</w:t>
            </w:r>
            <w:r>
              <w:rPr>
                <w:strike/>
                <w:color w:val="auto"/>
                <w:highlight w:val="none"/>
              </w:rPr>
              <w:t>得</w:t>
            </w:r>
            <w:r>
              <w:rPr>
                <w:strike/>
                <w:color w:val="auto"/>
                <w:spacing w:val="-3"/>
                <w:highlight w:val="none"/>
              </w:rPr>
              <w:t>分</w:t>
            </w:r>
            <w:r>
              <w:rPr>
                <w:strike/>
                <w:color w:val="auto"/>
                <w:highlight w:val="none"/>
              </w:rPr>
              <w:t>，</w:t>
            </w:r>
          </w:p>
          <w:p>
            <w:pPr>
              <w:spacing w:line="380" w:lineRule="exact"/>
              <w:rPr>
                <w:rFonts w:ascii="宋体" w:hAnsi="宋体" w:cs="宋体"/>
                <w:strike/>
                <w:color w:val="auto"/>
                <w:spacing w:val="-3"/>
                <w:kern w:val="0"/>
                <w:highlight w:val="none"/>
                <w:lang w:val="zh-CN" w:bidi="zh-CN"/>
              </w:rPr>
            </w:pPr>
            <w:r>
              <w:rPr>
                <w:rFonts w:ascii="宋体" w:hAnsi="宋体"/>
                <w:strike/>
                <w:color w:val="auto"/>
                <w:highlight w:val="none"/>
              </w:rPr>
              <w:t>记分依据以考核结果文件为准。</w:t>
            </w:r>
          </w:p>
        </w:tc>
      </w:tr>
    </w:tbl>
    <w:p>
      <w:pPr>
        <w:spacing w:line="300" w:lineRule="auto"/>
        <w:jc w:val="left"/>
        <w:rPr>
          <w:rFonts w:ascii="宋体" w:hAnsi="宋体" w:cs="Arial"/>
          <w:color w:val="auto"/>
          <w:highlight w:val="none"/>
        </w:rPr>
      </w:pPr>
    </w:p>
    <w:bookmarkEnd w:id="29"/>
    <w:p>
      <w:pPr>
        <w:adjustRightInd w:val="0"/>
        <w:snapToGrid w:val="0"/>
        <w:spacing w:line="380" w:lineRule="exact"/>
        <w:ind w:left="420" w:hanging="420" w:hangingChars="200"/>
        <w:jc w:val="left"/>
        <w:rPr>
          <w:rFonts w:ascii="宋体" w:hAnsi="宋体"/>
          <w:color w:val="auto"/>
          <w:highlight w:val="none"/>
          <w:u w:val="single"/>
        </w:rPr>
      </w:pPr>
      <w:r>
        <w:rPr>
          <w:rFonts w:ascii="宋体" w:hAnsi="宋体" w:cs="宋体"/>
          <w:color w:val="auto"/>
          <w:highlight w:val="none"/>
        </w:rPr>
        <w:t xml:space="preserve">3.1.1 </w:t>
      </w:r>
      <w:r>
        <w:rPr>
          <w:rFonts w:hint="eastAsia" w:ascii="宋体" w:hAnsi="宋体" w:cs="宋体"/>
          <w:color w:val="auto"/>
          <w:highlight w:val="none"/>
        </w:rPr>
        <w:t>相关说明：</w:t>
      </w:r>
      <w:r>
        <w:rPr>
          <w:rFonts w:hint="eastAsia" w:ascii="宋体" w:hAnsi="宋体" w:cs="宋体"/>
          <w:color w:val="auto"/>
          <w:highlight w:val="none"/>
          <w:u w:val="single"/>
        </w:rPr>
        <w:t>/</w:t>
      </w:r>
    </w:p>
    <w:p>
      <w:pPr>
        <w:adjustRightInd w:val="0"/>
        <w:snapToGrid w:val="0"/>
        <w:spacing w:line="380" w:lineRule="exact"/>
        <w:ind w:left="420" w:hanging="420" w:hangingChars="200"/>
        <w:jc w:val="left"/>
        <w:outlineLvl w:val="0"/>
        <w:rPr>
          <w:rFonts w:ascii="宋体" w:hAnsi="宋体"/>
          <w:color w:val="auto"/>
          <w:highlight w:val="none"/>
        </w:rPr>
      </w:pPr>
      <w:r>
        <w:rPr>
          <w:rFonts w:ascii="宋体" w:hAnsi="宋体" w:cs="宋体"/>
          <w:color w:val="auto"/>
          <w:highlight w:val="none"/>
        </w:rPr>
        <w:t xml:space="preserve">3.2 </w:t>
      </w:r>
      <w:r>
        <w:rPr>
          <w:rFonts w:hint="eastAsia" w:ascii="宋体" w:hAnsi="宋体" w:cs="宋体"/>
          <w:color w:val="auto"/>
          <w:highlight w:val="none"/>
        </w:rPr>
        <w:t>商务分</w:t>
      </w:r>
      <w:r>
        <w:rPr>
          <w:rFonts w:ascii="宋体" w:hAnsi="宋体" w:cs="宋体"/>
          <w:color w:val="auto"/>
          <w:highlight w:val="none"/>
        </w:rPr>
        <w:t>(80</w:t>
      </w:r>
      <w:r>
        <w:rPr>
          <w:rFonts w:hint="eastAsia" w:ascii="宋体" w:hAnsi="宋体" w:cs="宋体"/>
          <w:color w:val="auto"/>
          <w:highlight w:val="none"/>
        </w:rPr>
        <w:t>分</w:t>
      </w:r>
      <w:r>
        <w:rPr>
          <w:rFonts w:ascii="宋体" w:hAnsi="宋体" w:cs="宋体"/>
          <w:color w:val="auto"/>
          <w:highlight w:val="none"/>
        </w:rPr>
        <w:t>)</w:t>
      </w:r>
    </w:p>
    <w:p>
      <w:pPr>
        <w:tabs>
          <w:tab w:val="left" w:pos="3870"/>
          <w:tab w:val="left" w:pos="4085"/>
        </w:tabs>
        <w:adjustRightInd w:val="0"/>
        <w:snapToGrid w:val="0"/>
        <w:spacing w:line="380" w:lineRule="exact"/>
        <w:ind w:left="630" w:hanging="630" w:hangingChars="300"/>
        <w:jc w:val="left"/>
        <w:rPr>
          <w:rFonts w:ascii="宋体" w:hAnsi="宋体"/>
          <w:color w:val="auto"/>
          <w:highlight w:val="none"/>
        </w:rPr>
      </w:pPr>
      <w:r>
        <w:rPr>
          <w:rFonts w:ascii="宋体" w:hAnsi="宋体" w:cs="宋体"/>
          <w:color w:val="auto"/>
          <w:highlight w:val="none"/>
        </w:rPr>
        <w:t xml:space="preserve">3.2.1 </w:t>
      </w:r>
      <w:r>
        <w:rPr>
          <w:rFonts w:hint="eastAsia" w:ascii="宋体" w:hAnsi="宋体" w:cs="宋体"/>
          <w:color w:val="auto"/>
          <w:highlight w:val="none"/>
        </w:rPr>
        <w:t>投标报价</w:t>
      </w:r>
      <w:r>
        <w:rPr>
          <w:rFonts w:ascii="宋体" w:hAnsi="宋体" w:cs="宋体"/>
          <w:color w:val="auto"/>
          <w:highlight w:val="none"/>
        </w:rPr>
        <w:t>(80</w:t>
      </w:r>
      <w:r>
        <w:rPr>
          <w:rFonts w:hint="eastAsia" w:ascii="宋体" w:hAnsi="宋体" w:cs="宋体"/>
          <w:color w:val="auto"/>
          <w:highlight w:val="none"/>
        </w:rPr>
        <w:t>分</w:t>
      </w:r>
      <w:r>
        <w:rPr>
          <w:rFonts w:ascii="宋体" w:hAnsi="宋体" w:cs="宋体"/>
          <w:color w:val="auto"/>
          <w:highlight w:val="none"/>
        </w:rPr>
        <w:t>)</w:t>
      </w:r>
      <w:r>
        <w:rPr>
          <w:rFonts w:hint="eastAsia" w:ascii="宋体" w:hAnsi="宋体" w:cs="宋体"/>
          <w:color w:val="auto"/>
          <w:highlight w:val="none"/>
        </w:rPr>
        <w:t>：</w:t>
      </w:r>
    </w:p>
    <w:p>
      <w:pPr>
        <w:adjustRightInd w:val="0"/>
        <w:snapToGrid w:val="0"/>
        <w:spacing w:line="380" w:lineRule="exact"/>
        <w:ind w:left="840" w:hanging="840" w:hangingChars="400"/>
        <w:jc w:val="left"/>
        <w:rPr>
          <w:rFonts w:ascii="宋体" w:hAnsi="宋体"/>
          <w:color w:val="auto"/>
          <w:highlight w:val="none"/>
        </w:rPr>
      </w:pPr>
      <w:r>
        <w:rPr>
          <w:rFonts w:ascii="宋体" w:hAnsi="宋体" w:cs="宋体"/>
          <w:color w:val="auto"/>
          <w:highlight w:val="none"/>
        </w:rPr>
        <w:t xml:space="preserve">3.2.1.1 </w:t>
      </w:r>
      <w:r>
        <w:rPr>
          <w:rFonts w:hint="eastAsia" w:ascii="宋体" w:hAnsi="宋体" w:cs="宋体"/>
          <w:color w:val="auto"/>
          <w:highlight w:val="none"/>
        </w:rPr>
        <w:t>评标基准价：</w:t>
      </w:r>
      <w:r>
        <w:rPr>
          <w:rFonts w:hint="eastAsia" w:ascii="宋体" w:hAnsi="宋体" w:cs="宋体"/>
          <w:color w:val="auto"/>
          <w:kern w:val="0"/>
          <w:highlight w:val="none"/>
        </w:rPr>
        <w:t>招标代理、造价咨询收费区间按照</w:t>
      </w:r>
      <w:r>
        <w:rPr>
          <w:rFonts w:ascii="宋体" w:hAnsi="宋体" w:cs="宋体"/>
          <w:color w:val="auto"/>
          <w:kern w:val="0"/>
          <w:highlight w:val="none"/>
        </w:rPr>
        <w:t>3.5</w:t>
      </w:r>
      <w:r>
        <w:rPr>
          <w:rFonts w:hint="eastAsia" w:ascii="宋体" w:hAnsi="宋体" w:cs="宋体"/>
          <w:color w:val="auto"/>
          <w:kern w:val="0"/>
          <w:highlight w:val="none"/>
        </w:rPr>
        <w:t>收费标准</w:t>
      </w:r>
      <w:r>
        <w:rPr>
          <w:rFonts w:hint="eastAsia" w:ascii="宋体" w:hAnsi="宋体" w:cs="宋体"/>
          <w:color w:val="auto"/>
          <w:highlight w:val="none"/>
        </w:rPr>
        <w:t>，招标代理费</w:t>
      </w:r>
      <w:r>
        <w:rPr>
          <w:rFonts w:ascii="宋体" w:hAnsi="宋体" w:cs="宋体"/>
          <w:color w:val="auto"/>
          <w:highlight w:val="none"/>
        </w:rPr>
        <w:t>*</w:t>
      </w:r>
      <w:r>
        <w:rPr>
          <w:rFonts w:hint="eastAsia" w:ascii="宋体" w:hAnsi="宋体" w:cs="宋体"/>
          <w:b/>
          <w:bCs/>
          <w:color w:val="auto"/>
          <w:highlight w:val="none"/>
          <w:u w:val="single"/>
          <w:lang w:val="en-US" w:eastAsia="zh-CN"/>
        </w:rPr>
        <w:t>60</w:t>
      </w:r>
      <w:r>
        <w:rPr>
          <w:rFonts w:ascii="宋体" w:hAnsi="宋体" w:cs="宋体"/>
          <w:b/>
          <w:bCs/>
          <w:color w:val="auto"/>
          <w:highlight w:val="none"/>
          <w:u w:val="single"/>
        </w:rPr>
        <w:t>%</w:t>
      </w:r>
      <w:r>
        <w:rPr>
          <w:rFonts w:hint="eastAsia" w:ascii="宋体" w:hAnsi="宋体" w:cs="宋体"/>
          <w:color w:val="auto"/>
          <w:highlight w:val="none"/>
        </w:rPr>
        <w:t>计取、招标控制价编制费</w:t>
      </w:r>
      <w:r>
        <w:rPr>
          <w:rFonts w:ascii="宋体" w:hAnsi="宋体" w:cs="宋体"/>
          <w:color w:val="auto"/>
          <w:highlight w:val="none"/>
        </w:rPr>
        <w:t>*</w:t>
      </w:r>
      <w:r>
        <w:rPr>
          <w:rFonts w:hint="eastAsia" w:ascii="宋体" w:hAnsi="宋体" w:cs="宋体"/>
          <w:b/>
          <w:bCs/>
          <w:color w:val="auto"/>
          <w:highlight w:val="none"/>
          <w:u w:val="single"/>
          <w:lang w:val="en-US" w:eastAsia="zh-CN"/>
        </w:rPr>
        <w:t>40</w:t>
      </w:r>
      <w:r>
        <w:rPr>
          <w:rFonts w:ascii="宋体" w:hAnsi="宋体" w:cs="宋体"/>
          <w:b/>
          <w:bCs/>
          <w:color w:val="auto"/>
          <w:highlight w:val="none"/>
          <w:u w:val="single"/>
        </w:rPr>
        <w:t>%</w:t>
      </w:r>
      <w:r>
        <w:rPr>
          <w:rFonts w:hint="eastAsia" w:ascii="宋体" w:hAnsi="宋体" w:cs="宋体"/>
          <w:color w:val="auto"/>
          <w:highlight w:val="none"/>
        </w:rPr>
        <w:t>计取，</w:t>
      </w:r>
    </w:p>
    <w:p>
      <w:pPr>
        <w:adjustRightInd w:val="0"/>
        <w:snapToGrid w:val="0"/>
        <w:spacing w:line="380" w:lineRule="exact"/>
        <w:jc w:val="left"/>
        <w:rPr>
          <w:rFonts w:ascii="宋体" w:hAnsi="宋体" w:cs="宋体"/>
          <w:dstrike/>
          <w:color w:val="auto"/>
          <w:highlight w:val="none"/>
          <w:u w:val="single"/>
        </w:rPr>
      </w:pPr>
      <w:r>
        <w:rPr>
          <w:rFonts w:ascii="宋体" w:hAnsi="宋体" w:cs="宋体"/>
          <w:dstrike/>
          <w:color w:val="auto"/>
          <w:highlight w:val="none"/>
        </w:rPr>
        <w:t>3.2.1.2</w:t>
      </w:r>
      <w:r>
        <w:rPr>
          <w:rFonts w:hint="eastAsia" w:ascii="宋体" w:hAnsi="宋体" w:cs="宋体"/>
          <w:dstrike/>
          <w:color w:val="auto"/>
          <w:highlight w:val="none"/>
        </w:rPr>
        <w:t>特殊项目按以下办法确定收费标准：</w:t>
      </w:r>
    </w:p>
    <w:p>
      <w:pPr>
        <w:adjustRightInd w:val="0"/>
        <w:snapToGrid w:val="0"/>
        <w:spacing w:line="380" w:lineRule="exact"/>
        <w:ind w:left="840" w:leftChars="400"/>
        <w:jc w:val="left"/>
        <w:outlineLvl w:val="0"/>
        <w:rPr>
          <w:rFonts w:ascii="宋体" w:hAnsi="宋体"/>
          <w:dstrike/>
          <w:color w:val="auto"/>
          <w:highlight w:val="none"/>
        </w:rPr>
      </w:pPr>
      <w:r>
        <w:rPr>
          <w:rFonts w:hint="eastAsia" w:ascii="宋体" w:hAnsi="宋体" w:cs="宋体"/>
          <w:dstrike/>
          <w:color w:val="auto"/>
          <w:highlight w:val="none"/>
        </w:rPr>
        <w:t>（设定</w:t>
      </w:r>
      <w:r>
        <w:rPr>
          <w:rFonts w:ascii="宋体" w:hAnsi="宋体" w:cs="宋体"/>
          <w:dstrike/>
          <w:color w:val="auto"/>
          <w:highlight w:val="none"/>
        </w:rPr>
        <w:t>3.2.1.2</w:t>
      </w:r>
      <w:r>
        <w:rPr>
          <w:rFonts w:hint="eastAsia" w:ascii="宋体" w:hAnsi="宋体" w:cs="宋体"/>
          <w:strike/>
          <w:color w:val="auto"/>
          <w:spacing w:val="-3"/>
          <w:kern w:val="0"/>
          <w:highlight w:val="none"/>
          <w:lang w:val="zh-CN" w:bidi="zh-CN"/>
        </w:rPr>
        <w:t>的</w:t>
      </w:r>
      <w:r>
        <w:rPr>
          <w:rFonts w:hint="eastAsia" w:ascii="宋体" w:hAnsi="宋体" w:cs="宋体"/>
          <w:dstrike/>
          <w:color w:val="auto"/>
          <w:highlight w:val="none"/>
        </w:rPr>
        <w:t>，不再执行</w:t>
      </w:r>
      <w:r>
        <w:rPr>
          <w:rFonts w:ascii="宋体" w:hAnsi="宋体" w:cs="宋体"/>
          <w:dstrike/>
          <w:color w:val="auto"/>
          <w:highlight w:val="none"/>
        </w:rPr>
        <w:t>3.2.1.1</w:t>
      </w:r>
      <w:r>
        <w:rPr>
          <w:rFonts w:hint="eastAsia" w:ascii="宋体" w:hAnsi="宋体" w:cs="宋体"/>
          <w:dstrike/>
          <w:color w:val="auto"/>
          <w:highlight w:val="none"/>
        </w:rPr>
        <w:t>）</w:t>
      </w:r>
    </w:p>
    <w:p>
      <w:pPr>
        <w:adjustRightInd w:val="0"/>
        <w:snapToGrid w:val="0"/>
        <w:spacing w:line="380" w:lineRule="exact"/>
        <w:ind w:left="840" w:hanging="840" w:hangingChars="400"/>
        <w:jc w:val="left"/>
        <w:rPr>
          <w:rFonts w:ascii="宋体" w:hAnsi="宋体"/>
          <w:color w:val="auto"/>
          <w:highlight w:val="none"/>
        </w:rPr>
      </w:pPr>
      <w:r>
        <w:rPr>
          <w:rFonts w:ascii="宋体" w:hAnsi="宋体" w:cs="宋体"/>
          <w:color w:val="auto"/>
          <w:highlight w:val="none"/>
        </w:rPr>
        <w:t>3.2.1.3</w:t>
      </w:r>
      <w:r>
        <w:rPr>
          <w:rFonts w:hint="eastAsia" w:ascii="宋体" w:hAnsi="宋体" w:cs="宋体"/>
          <w:color w:val="auto"/>
          <w:highlight w:val="none"/>
        </w:rPr>
        <w:t>投标以浮动率形式报价。浮动率在</w:t>
      </w:r>
      <w:r>
        <w:rPr>
          <w:rFonts w:ascii="宋体" w:hAnsi="宋体" w:cs="宋体"/>
          <w:b/>
          <w:bCs/>
          <w:color w:val="auto"/>
          <w:highlight w:val="none"/>
          <w:u w:val="single"/>
        </w:rPr>
        <w:t>-5%</w:t>
      </w:r>
      <w:r>
        <w:rPr>
          <w:rFonts w:hint="eastAsia" w:ascii="宋体" w:hAnsi="宋体" w:cs="宋体"/>
          <w:b/>
          <w:bCs/>
          <w:color w:val="auto"/>
          <w:highlight w:val="none"/>
          <w:u w:val="single"/>
        </w:rPr>
        <w:t>～</w:t>
      </w:r>
      <w:r>
        <w:rPr>
          <w:rFonts w:ascii="宋体" w:hAnsi="宋体" w:cs="宋体"/>
          <w:b/>
          <w:bCs/>
          <w:color w:val="auto"/>
          <w:highlight w:val="none"/>
          <w:u w:val="single"/>
        </w:rPr>
        <w:t>5%</w:t>
      </w:r>
      <w:r>
        <w:rPr>
          <w:rFonts w:hint="eastAsia" w:ascii="宋体" w:hAnsi="宋体" w:cs="宋体"/>
          <w:color w:val="auto"/>
          <w:highlight w:val="none"/>
        </w:rPr>
        <w:t>（含上限、下限）有效范围内浮动，小数点后最多保留两位，第三位四舍五入。各投标人的投标浮动率，设为</w:t>
      </w:r>
      <w:r>
        <w:rPr>
          <w:rFonts w:ascii="宋体" w:hAnsi="宋体" w:cs="宋体"/>
          <w:color w:val="auto"/>
          <w:highlight w:val="none"/>
        </w:rPr>
        <w:t>Xi</w:t>
      </w:r>
      <w:r>
        <w:rPr>
          <w:rFonts w:hint="eastAsia" w:ascii="宋体" w:hAnsi="宋体" w:cs="宋体"/>
          <w:color w:val="auto"/>
          <w:highlight w:val="none"/>
        </w:rPr>
        <w:t>。</w:t>
      </w:r>
    </w:p>
    <w:p>
      <w:pPr>
        <w:adjustRightInd w:val="0"/>
        <w:snapToGrid w:val="0"/>
        <w:spacing w:line="380" w:lineRule="exact"/>
        <w:ind w:left="840" w:hanging="840" w:hangingChars="400"/>
        <w:jc w:val="left"/>
        <w:rPr>
          <w:rFonts w:ascii="宋体" w:hAnsi="宋体" w:cs="宋体"/>
          <w:b/>
          <w:bCs/>
          <w:color w:val="auto"/>
          <w:highlight w:val="none"/>
        </w:rPr>
      </w:pPr>
      <w:r>
        <w:rPr>
          <w:rFonts w:ascii="宋体" w:hAnsi="宋体" w:cs="宋体"/>
          <w:color w:val="auto"/>
          <w:highlight w:val="none"/>
        </w:rPr>
        <w:t>3.2.1.4</w:t>
      </w:r>
      <w:r>
        <w:rPr>
          <w:rFonts w:hint="eastAsia" w:ascii="宋体" w:hAnsi="宋体" w:cs="宋体"/>
          <w:b/>
          <w:bCs/>
          <w:color w:val="auto"/>
          <w:highlight w:val="none"/>
        </w:rPr>
        <w:t>评标时，浮动率抽取区间为-5%～5%，由招标人代表在规定的抽取区间范围内（各档之间的步长为1%）随机抽取两次浮动率，其算术平均值作为基准浮动率，设为 Y。 各投标人分值评估计算如下</w:t>
      </w:r>
      <w:r>
        <w:rPr>
          <w:rFonts w:hint="eastAsia" w:ascii="宋体" w:hAnsi="宋体" w:cs="宋体"/>
          <w:color w:val="auto"/>
          <w:highlight w:val="none"/>
        </w:rPr>
        <w:t>：</w:t>
      </w:r>
    </w:p>
    <w:p>
      <w:pPr>
        <w:adjustRightInd w:val="0"/>
        <w:snapToGrid w:val="0"/>
        <w:spacing w:line="380" w:lineRule="exact"/>
        <w:jc w:val="left"/>
        <w:rPr>
          <w:rFonts w:ascii="宋体" w:hAnsi="宋体"/>
          <w:color w:val="auto"/>
          <w:highlight w:val="none"/>
        </w:rPr>
      </w:pPr>
      <w:r>
        <w:rPr>
          <w:rFonts w:hint="eastAsia" w:ascii="宋体" w:hAnsi="宋体" w:cs="宋体"/>
          <w:color w:val="auto"/>
          <w:highlight w:val="none"/>
        </w:rPr>
        <w:t>当</w:t>
      </w:r>
      <w:r>
        <w:rPr>
          <w:rFonts w:ascii="宋体" w:hAnsi="宋体" w:cs="宋体"/>
          <w:color w:val="auto"/>
          <w:highlight w:val="none"/>
        </w:rPr>
        <w:t>Xi=Y</w:t>
      </w:r>
      <w:r>
        <w:rPr>
          <w:rFonts w:hint="eastAsia" w:ascii="宋体" w:hAnsi="宋体" w:cs="宋体"/>
          <w:color w:val="auto"/>
          <w:highlight w:val="none"/>
        </w:rPr>
        <w:t>时，得分</w:t>
      </w:r>
      <w:r>
        <w:rPr>
          <w:rFonts w:ascii="宋体" w:hAnsi="宋体" w:cs="宋体"/>
          <w:color w:val="auto"/>
          <w:highlight w:val="none"/>
        </w:rPr>
        <w:t>=80</w:t>
      </w:r>
      <w:r>
        <w:rPr>
          <w:rFonts w:hint="eastAsia" w:ascii="宋体" w:hAnsi="宋体" w:cs="宋体"/>
          <w:color w:val="auto"/>
          <w:highlight w:val="none"/>
        </w:rPr>
        <w:t>分；</w:t>
      </w:r>
    </w:p>
    <w:p>
      <w:pPr>
        <w:adjustRightInd w:val="0"/>
        <w:snapToGrid w:val="0"/>
        <w:spacing w:line="380" w:lineRule="exact"/>
        <w:jc w:val="left"/>
        <w:rPr>
          <w:rFonts w:ascii="宋体" w:hAnsi="宋体"/>
          <w:color w:val="auto"/>
          <w:highlight w:val="none"/>
        </w:rPr>
      </w:pPr>
      <w:r>
        <w:rPr>
          <w:rFonts w:hint="eastAsia" w:ascii="宋体" w:hAnsi="宋体" w:cs="宋体"/>
          <w:color w:val="auto"/>
          <w:highlight w:val="none"/>
        </w:rPr>
        <w:t>当</w:t>
      </w:r>
      <w:r>
        <w:rPr>
          <w:rFonts w:ascii="宋体" w:hAnsi="宋体" w:cs="宋体"/>
          <w:color w:val="auto"/>
          <w:highlight w:val="none"/>
        </w:rPr>
        <w:t>Xi</w:t>
      </w:r>
      <w:r>
        <w:rPr>
          <w:rFonts w:hint="eastAsia" w:ascii="宋体" w:hAnsi="宋体" w:cs="宋体"/>
          <w:color w:val="auto"/>
          <w:highlight w:val="none"/>
        </w:rPr>
        <w:t>＞</w:t>
      </w:r>
      <w:r>
        <w:rPr>
          <w:rFonts w:ascii="宋体" w:hAnsi="宋体" w:cs="宋体"/>
          <w:color w:val="auto"/>
          <w:highlight w:val="none"/>
        </w:rPr>
        <w:t>Y</w:t>
      </w:r>
      <w:r>
        <w:rPr>
          <w:rFonts w:hint="eastAsia" w:ascii="宋体" w:hAnsi="宋体" w:cs="宋体"/>
          <w:color w:val="auto"/>
          <w:highlight w:val="none"/>
        </w:rPr>
        <w:t>时，得分</w:t>
      </w:r>
      <w:r>
        <w:rPr>
          <w:rFonts w:ascii="宋体" w:hAnsi="宋体" w:cs="宋体"/>
          <w:color w:val="auto"/>
          <w:highlight w:val="none"/>
        </w:rPr>
        <w:t>=80-</w:t>
      </w:r>
      <w:r>
        <w:rPr>
          <w:rFonts w:hint="eastAsia" w:ascii="宋体" w:hAnsi="宋体" w:cs="宋体"/>
          <w:color w:val="auto"/>
          <w:highlight w:val="none"/>
        </w:rPr>
        <w:t>（</w:t>
      </w:r>
      <w:r>
        <w:rPr>
          <w:rFonts w:ascii="宋体" w:hAnsi="宋体" w:cs="宋体"/>
          <w:color w:val="auto"/>
          <w:highlight w:val="none"/>
        </w:rPr>
        <w:t>Xi-Y</w:t>
      </w:r>
      <w:r>
        <w:rPr>
          <w:rFonts w:hint="eastAsia" w:ascii="宋体" w:hAnsi="宋体" w:cs="宋体"/>
          <w:color w:val="auto"/>
          <w:highlight w:val="none"/>
        </w:rPr>
        <w:t>）×</w:t>
      </w:r>
      <w:r>
        <w:rPr>
          <w:rFonts w:ascii="宋体" w:hAnsi="宋体" w:cs="宋体"/>
          <w:color w:val="auto"/>
          <w:highlight w:val="none"/>
        </w:rPr>
        <w:t>100</w:t>
      </w:r>
      <w:r>
        <w:rPr>
          <w:rFonts w:hint="eastAsia" w:ascii="宋体" w:hAnsi="宋体" w:cs="宋体"/>
          <w:color w:val="auto"/>
          <w:highlight w:val="none"/>
        </w:rPr>
        <w:t>×</w:t>
      </w:r>
      <w:r>
        <w:rPr>
          <w:rFonts w:ascii="宋体" w:hAnsi="宋体" w:cs="宋体"/>
          <w:color w:val="auto"/>
          <w:highlight w:val="none"/>
        </w:rPr>
        <w:t>4</w:t>
      </w:r>
      <w:r>
        <w:rPr>
          <w:rFonts w:hint="eastAsia" w:ascii="宋体" w:hAnsi="宋体" w:cs="宋体"/>
          <w:color w:val="auto"/>
          <w:highlight w:val="none"/>
        </w:rPr>
        <w:t>分；</w:t>
      </w:r>
    </w:p>
    <w:p>
      <w:pPr>
        <w:adjustRightInd w:val="0"/>
        <w:snapToGrid w:val="0"/>
        <w:spacing w:line="380" w:lineRule="exact"/>
        <w:jc w:val="left"/>
        <w:rPr>
          <w:rFonts w:ascii="宋体" w:hAnsi="宋体"/>
          <w:color w:val="auto"/>
          <w:highlight w:val="none"/>
        </w:rPr>
      </w:pPr>
      <w:r>
        <w:rPr>
          <w:rFonts w:hint="eastAsia" w:ascii="宋体" w:hAnsi="宋体" w:cs="宋体"/>
          <w:color w:val="auto"/>
          <w:highlight w:val="none"/>
        </w:rPr>
        <w:t>当</w:t>
      </w:r>
      <w:r>
        <w:rPr>
          <w:rFonts w:ascii="宋体" w:hAnsi="宋体" w:cs="宋体"/>
          <w:color w:val="auto"/>
          <w:highlight w:val="none"/>
        </w:rPr>
        <w:t>Xi</w:t>
      </w:r>
      <w:r>
        <w:rPr>
          <w:rFonts w:hint="eastAsia" w:ascii="宋体" w:hAnsi="宋体" w:cs="宋体"/>
          <w:color w:val="auto"/>
          <w:highlight w:val="none"/>
        </w:rPr>
        <w:t>＜</w:t>
      </w:r>
      <w:r>
        <w:rPr>
          <w:rFonts w:ascii="宋体" w:hAnsi="宋体" w:cs="宋体"/>
          <w:color w:val="auto"/>
          <w:highlight w:val="none"/>
        </w:rPr>
        <w:t>Y</w:t>
      </w:r>
      <w:r>
        <w:rPr>
          <w:rFonts w:hint="eastAsia" w:ascii="宋体" w:hAnsi="宋体" w:cs="宋体"/>
          <w:color w:val="auto"/>
          <w:highlight w:val="none"/>
        </w:rPr>
        <w:t>时，得分</w:t>
      </w:r>
      <w:r>
        <w:rPr>
          <w:rFonts w:ascii="宋体" w:hAnsi="宋体" w:cs="宋体"/>
          <w:color w:val="auto"/>
          <w:highlight w:val="none"/>
        </w:rPr>
        <w:t>=80-</w:t>
      </w:r>
      <w:r>
        <w:rPr>
          <w:rFonts w:hint="eastAsia" w:ascii="宋体" w:hAnsi="宋体" w:cs="宋体"/>
          <w:color w:val="auto"/>
          <w:highlight w:val="none"/>
        </w:rPr>
        <w:t>（</w:t>
      </w:r>
      <w:r>
        <w:rPr>
          <w:rFonts w:ascii="宋体" w:hAnsi="宋体" w:cs="宋体"/>
          <w:color w:val="auto"/>
          <w:highlight w:val="none"/>
        </w:rPr>
        <w:t>Y-Xi</w:t>
      </w:r>
      <w:r>
        <w:rPr>
          <w:rFonts w:hint="eastAsia" w:ascii="宋体" w:hAnsi="宋体" w:cs="宋体"/>
          <w:color w:val="auto"/>
          <w:highlight w:val="none"/>
        </w:rPr>
        <w:t>）×</w:t>
      </w:r>
      <w:r>
        <w:rPr>
          <w:rFonts w:ascii="宋体" w:hAnsi="宋体" w:cs="宋体"/>
          <w:color w:val="auto"/>
          <w:highlight w:val="none"/>
        </w:rPr>
        <w:t>100</w:t>
      </w:r>
      <w:r>
        <w:rPr>
          <w:rFonts w:hint="eastAsia" w:ascii="宋体" w:hAnsi="宋体" w:cs="宋体"/>
          <w:color w:val="auto"/>
          <w:highlight w:val="none"/>
        </w:rPr>
        <w:t>×</w:t>
      </w:r>
      <w:r>
        <w:rPr>
          <w:rFonts w:ascii="宋体" w:hAnsi="宋体" w:cs="宋体"/>
          <w:color w:val="auto"/>
          <w:highlight w:val="none"/>
        </w:rPr>
        <w:t>2</w:t>
      </w:r>
      <w:r>
        <w:rPr>
          <w:rFonts w:hint="eastAsia" w:ascii="宋体" w:hAnsi="宋体" w:cs="宋体"/>
          <w:color w:val="auto"/>
          <w:highlight w:val="none"/>
        </w:rPr>
        <w:t>分；</w:t>
      </w:r>
    </w:p>
    <w:p>
      <w:pPr>
        <w:adjustRightInd w:val="0"/>
        <w:snapToGrid w:val="0"/>
        <w:spacing w:line="380" w:lineRule="exact"/>
        <w:jc w:val="left"/>
        <w:rPr>
          <w:rFonts w:ascii="宋体" w:hAnsi="宋体"/>
          <w:color w:val="auto"/>
          <w:highlight w:val="none"/>
        </w:rPr>
      </w:pPr>
      <w:r>
        <w:rPr>
          <w:rFonts w:hint="eastAsia" w:ascii="宋体" w:hAnsi="宋体" w:cs="宋体"/>
          <w:color w:val="auto"/>
          <w:highlight w:val="none"/>
        </w:rPr>
        <w:t>在浮动率有效范围外的报价商务分得分为</w:t>
      </w:r>
      <w:r>
        <w:rPr>
          <w:rFonts w:ascii="宋体" w:hAnsi="宋体" w:cs="宋体"/>
          <w:color w:val="auto"/>
          <w:highlight w:val="none"/>
        </w:rPr>
        <w:t>0</w:t>
      </w:r>
      <w:r>
        <w:rPr>
          <w:rFonts w:hint="eastAsia" w:ascii="宋体" w:hAnsi="宋体" w:cs="宋体"/>
          <w:color w:val="auto"/>
          <w:highlight w:val="none"/>
        </w:rPr>
        <w:t>。</w:t>
      </w:r>
    </w:p>
    <w:p>
      <w:pPr>
        <w:adjustRightInd w:val="0"/>
        <w:snapToGrid w:val="0"/>
        <w:spacing w:line="460" w:lineRule="exact"/>
        <w:jc w:val="left"/>
        <w:rPr>
          <w:rFonts w:ascii="宋体"/>
          <w:strike/>
          <w:color w:val="auto"/>
          <w:highlight w:val="none"/>
        </w:rPr>
      </w:pPr>
      <w:r>
        <w:rPr>
          <w:rFonts w:ascii="宋体" w:hAnsi="宋体" w:cs="宋体"/>
          <w:strike/>
          <w:color w:val="auto"/>
          <w:highlight w:val="none"/>
        </w:rPr>
        <w:t>3</w:t>
      </w:r>
      <w:r>
        <w:rPr>
          <w:rFonts w:hint="eastAsia" w:ascii="宋体" w:hAnsi="宋体" w:cs="宋体"/>
          <w:strike/>
          <w:color w:val="auto"/>
          <w:highlight w:val="none"/>
        </w:rPr>
        <w:t>.3资信分（</w:t>
      </w:r>
      <w:r>
        <w:rPr>
          <w:rFonts w:ascii="宋体" w:hAnsi="宋体" w:cs="宋体"/>
          <w:strike/>
          <w:color w:val="auto"/>
          <w:highlight w:val="none"/>
        </w:rPr>
        <w:t>2</w:t>
      </w:r>
      <w:r>
        <w:rPr>
          <w:rFonts w:hint="eastAsia" w:ascii="宋体" w:hAnsi="宋体" w:cs="宋体"/>
          <w:strike/>
          <w:color w:val="auto"/>
          <w:highlight w:val="none"/>
        </w:rPr>
        <w:t>分）</w:t>
      </w:r>
    </w:p>
    <w:p>
      <w:pPr>
        <w:pStyle w:val="29"/>
        <w:widowControl/>
        <w:adjustRightInd w:val="0"/>
        <w:snapToGrid w:val="0"/>
        <w:spacing w:line="460" w:lineRule="exact"/>
        <w:ind w:firstLine="0" w:firstLineChars="0"/>
        <w:jc w:val="left"/>
        <w:rPr>
          <w:rFonts w:ascii="宋体"/>
          <w:strike/>
          <w:color w:val="auto"/>
          <w:highlight w:val="none"/>
        </w:rPr>
      </w:pPr>
      <w:r>
        <w:rPr>
          <w:rFonts w:ascii="宋体" w:hAnsi="宋体" w:cs="宋体"/>
          <w:strike/>
          <w:color w:val="auto"/>
          <w:highlight w:val="none"/>
        </w:rPr>
        <w:t xml:space="preserve">3.3.1 </w:t>
      </w:r>
      <w:r>
        <w:rPr>
          <w:rFonts w:hint="eastAsia" w:ascii="宋体" w:hAnsi="宋体" w:cs="宋体"/>
          <w:strike/>
          <w:color w:val="auto"/>
          <w:highlight w:val="none"/>
        </w:rPr>
        <w:t>在2021年上半年度绍兴市政务服务办公室的招标代理（咨询）机构考核中，五星级的得</w:t>
      </w:r>
      <w:r>
        <w:rPr>
          <w:rFonts w:ascii="宋体" w:hAnsi="宋体" w:cs="宋体"/>
          <w:strike/>
          <w:color w:val="auto"/>
          <w:highlight w:val="none"/>
        </w:rPr>
        <w:t>2</w:t>
      </w:r>
      <w:r>
        <w:rPr>
          <w:rFonts w:hint="eastAsia" w:ascii="宋体" w:hAnsi="宋体" w:cs="宋体"/>
          <w:strike/>
          <w:color w:val="auto"/>
          <w:highlight w:val="none"/>
        </w:rPr>
        <w:t>分，四星级的得</w:t>
      </w:r>
      <w:r>
        <w:rPr>
          <w:rFonts w:ascii="宋体" w:hAnsi="宋体" w:cs="宋体"/>
          <w:strike/>
          <w:color w:val="auto"/>
          <w:highlight w:val="none"/>
        </w:rPr>
        <w:t>1.5</w:t>
      </w:r>
      <w:r>
        <w:rPr>
          <w:rFonts w:hint="eastAsia" w:ascii="宋体" w:hAnsi="宋体" w:cs="宋体"/>
          <w:strike/>
          <w:color w:val="auto"/>
          <w:highlight w:val="none"/>
        </w:rPr>
        <w:t>分，三星级的得</w:t>
      </w:r>
      <w:r>
        <w:rPr>
          <w:rFonts w:ascii="宋体" w:hAnsi="宋体" w:cs="宋体"/>
          <w:strike/>
          <w:color w:val="auto"/>
          <w:highlight w:val="none"/>
        </w:rPr>
        <w:t>1</w:t>
      </w:r>
      <w:r>
        <w:rPr>
          <w:rFonts w:hint="eastAsia" w:ascii="宋体" w:hAnsi="宋体" w:cs="宋体"/>
          <w:strike/>
          <w:color w:val="auto"/>
          <w:highlight w:val="none"/>
        </w:rPr>
        <w:t>分，二星级的得</w:t>
      </w:r>
      <w:r>
        <w:rPr>
          <w:rFonts w:ascii="宋体" w:hAnsi="宋体" w:cs="宋体"/>
          <w:strike/>
          <w:color w:val="auto"/>
          <w:highlight w:val="none"/>
        </w:rPr>
        <w:t>0.5</w:t>
      </w:r>
      <w:r>
        <w:rPr>
          <w:rFonts w:hint="eastAsia" w:ascii="宋体" w:hAnsi="宋体" w:cs="宋体"/>
          <w:strike/>
          <w:color w:val="auto"/>
          <w:highlight w:val="none"/>
        </w:rPr>
        <w:t>分，没有星级的不得分，记分依据以考核结果文件（本招标文件备案审核通过之日前的最近一期）为准。</w:t>
      </w:r>
    </w:p>
    <w:p>
      <w:pPr>
        <w:adjustRightInd w:val="0"/>
        <w:snapToGrid w:val="0"/>
        <w:spacing w:line="460" w:lineRule="exact"/>
        <w:jc w:val="left"/>
        <w:rPr>
          <w:rFonts w:ascii="宋体"/>
          <w:strike/>
          <w:color w:val="auto"/>
          <w:highlight w:val="none"/>
        </w:rPr>
      </w:pPr>
      <w:r>
        <w:rPr>
          <w:rFonts w:ascii="宋体" w:hAnsi="宋体" w:cs="宋体"/>
          <w:strike/>
          <w:color w:val="auto"/>
          <w:highlight w:val="none"/>
        </w:rPr>
        <w:t xml:space="preserve">3.3.2 </w:t>
      </w:r>
      <w:r>
        <w:rPr>
          <w:rFonts w:hint="eastAsia" w:ascii="宋体" w:hAnsi="宋体" w:cs="宋体"/>
          <w:strike/>
          <w:color w:val="auto"/>
          <w:highlight w:val="none"/>
        </w:rPr>
        <w:t>未设置</w:t>
      </w:r>
      <w:r>
        <w:rPr>
          <w:rFonts w:hAnsi="宋体"/>
          <w:strike/>
          <w:color w:val="auto"/>
          <w:highlight w:val="none"/>
        </w:rPr>
        <w:t>3.1</w:t>
      </w:r>
      <w:r>
        <w:rPr>
          <w:rFonts w:hint="eastAsia" w:hAnsi="宋体" w:cs="宋体"/>
          <w:strike/>
          <w:color w:val="auto"/>
          <w:highlight w:val="none"/>
        </w:rPr>
        <w:t>技术分</w:t>
      </w:r>
      <w:r>
        <w:rPr>
          <w:rFonts w:hint="eastAsia" w:ascii="宋体" w:hAnsi="宋体" w:cs="宋体"/>
          <w:strike/>
          <w:color w:val="auto"/>
          <w:highlight w:val="none"/>
        </w:rPr>
        <w:t>的项目，按</w:t>
      </w:r>
      <w:r>
        <w:rPr>
          <w:rFonts w:ascii="宋体" w:hAnsi="宋体" w:cs="宋体"/>
          <w:strike/>
          <w:color w:val="auto"/>
          <w:highlight w:val="none"/>
        </w:rPr>
        <w:t>3.3.1</w:t>
      </w:r>
      <w:r>
        <w:rPr>
          <w:rFonts w:hint="eastAsia" w:ascii="宋体" w:hAnsi="宋体" w:cs="宋体"/>
          <w:strike/>
          <w:color w:val="auto"/>
          <w:highlight w:val="none"/>
        </w:rPr>
        <w:t>对投标人的资信情况进行评审；设有技术分的，不再评审。</w:t>
      </w:r>
    </w:p>
    <w:p>
      <w:pPr>
        <w:adjustRightInd w:val="0"/>
        <w:snapToGrid w:val="0"/>
        <w:spacing w:line="380" w:lineRule="exact"/>
        <w:ind w:left="420" w:hanging="420" w:hangingChars="200"/>
        <w:jc w:val="left"/>
        <w:rPr>
          <w:rFonts w:ascii="宋体" w:hAnsi="宋体"/>
          <w:color w:val="auto"/>
          <w:highlight w:val="none"/>
        </w:rPr>
      </w:pPr>
      <w:r>
        <w:rPr>
          <w:rFonts w:ascii="宋体" w:hAnsi="宋体" w:cs="宋体"/>
          <w:color w:val="auto"/>
          <w:highlight w:val="none"/>
        </w:rPr>
        <w:t>3.4</w:t>
      </w:r>
      <w:r>
        <w:rPr>
          <w:rFonts w:hint="eastAsia" w:ascii="宋体" w:hAnsi="宋体" w:cs="宋体"/>
          <w:color w:val="auto"/>
          <w:highlight w:val="none"/>
        </w:rPr>
        <w:t>汇总评分结果</w:t>
      </w:r>
    </w:p>
    <w:p>
      <w:pPr>
        <w:adjustRightInd w:val="0"/>
        <w:snapToGrid w:val="0"/>
        <w:spacing w:line="380" w:lineRule="exact"/>
        <w:ind w:left="105" w:hanging="105" w:hangingChars="50"/>
        <w:jc w:val="left"/>
        <w:rPr>
          <w:rFonts w:ascii="宋体" w:hAnsi="宋体" w:cs="宋体"/>
          <w:color w:val="auto"/>
          <w:highlight w:val="none"/>
        </w:rPr>
      </w:pPr>
      <w:r>
        <w:rPr>
          <w:rFonts w:ascii="宋体" w:hAnsi="宋体"/>
          <w:strike/>
          <w:color w:val="auto"/>
          <w:highlight w:val="none"/>
        </w:rPr>
        <w:t>资信部分</w:t>
      </w:r>
      <w:r>
        <w:rPr>
          <w:rFonts w:hint="eastAsia" w:ascii="宋体" w:hAnsi="宋体" w:cs="宋体"/>
          <w:strike/>
          <w:color w:val="auto"/>
          <w:highlight w:val="none"/>
        </w:rPr>
        <w:t>和</w:t>
      </w:r>
      <w:r>
        <w:rPr>
          <w:rFonts w:hint="eastAsia" w:ascii="宋体" w:hAnsi="宋体" w:cs="宋体"/>
          <w:color w:val="auto"/>
          <w:highlight w:val="none"/>
        </w:rPr>
        <w:t>商务部分评估后的分数相加计算出每一投标人的总得分。所有计算分均精确到小数点后两位。</w:t>
      </w:r>
    </w:p>
    <w:p>
      <w:pPr>
        <w:adjustRightInd w:val="0"/>
        <w:snapToGrid w:val="0"/>
        <w:spacing w:line="380" w:lineRule="exact"/>
        <w:ind w:left="105" w:hanging="105" w:hangingChars="50"/>
        <w:jc w:val="left"/>
        <w:outlineLvl w:val="0"/>
        <w:rPr>
          <w:rFonts w:ascii="宋体" w:hAnsi="宋体" w:cs="宋体"/>
          <w:color w:val="auto"/>
          <w:highlight w:val="none"/>
        </w:rPr>
      </w:pPr>
      <w:r>
        <w:rPr>
          <w:rFonts w:ascii="宋体" w:hAnsi="宋体" w:cs="宋体"/>
          <w:color w:val="auto"/>
          <w:highlight w:val="none"/>
        </w:rPr>
        <w:t>3.5</w:t>
      </w:r>
      <w:r>
        <w:rPr>
          <w:rFonts w:hint="eastAsia" w:ascii="宋体" w:hAnsi="宋体" w:cs="宋体"/>
          <w:color w:val="auto"/>
          <w:highlight w:val="none"/>
        </w:rPr>
        <w:t>服务项目及收费标准</w:t>
      </w:r>
    </w:p>
    <w:p>
      <w:pPr>
        <w:adjustRightInd w:val="0"/>
        <w:snapToGrid w:val="0"/>
        <w:spacing w:line="380" w:lineRule="exact"/>
        <w:ind w:left="105" w:hanging="105" w:hangingChars="50"/>
        <w:jc w:val="left"/>
        <w:rPr>
          <w:rFonts w:ascii="宋体" w:hAnsi="宋体"/>
          <w:color w:val="auto"/>
          <w:highlight w:val="none"/>
        </w:rPr>
      </w:pPr>
      <w:r>
        <w:rPr>
          <w:rFonts w:ascii="宋体" w:hAnsi="宋体" w:cs="宋体"/>
          <w:color w:val="auto"/>
          <w:highlight w:val="none"/>
        </w:rPr>
        <w:t xml:space="preserve">3.5.1 </w:t>
      </w:r>
      <w:r>
        <w:rPr>
          <w:rFonts w:hint="eastAsia" w:ascii="宋体" w:hAnsi="宋体" w:cs="宋体"/>
          <w:color w:val="auto"/>
          <w:highlight w:val="none"/>
        </w:rPr>
        <w:t>招标代理收费项目及收费费率，</w:t>
      </w:r>
      <w:r>
        <w:rPr>
          <w:rFonts w:hint="eastAsia" w:ascii="宋体" w:hAnsi="宋体" w:cs="宋体"/>
          <w:color w:val="auto"/>
          <w:kern w:val="0"/>
          <w:highlight w:val="none"/>
        </w:rPr>
        <w:t>按《招标代理服务收费管理暂行办法》（计价格</w:t>
      </w:r>
      <w:r>
        <w:rPr>
          <w:rFonts w:ascii="宋体" w:hAnsi="宋体" w:cs="宋体"/>
          <w:color w:val="auto"/>
          <w:kern w:val="0"/>
          <w:highlight w:val="none"/>
        </w:rPr>
        <w:t>[2002]1980</w:t>
      </w:r>
      <w:r>
        <w:rPr>
          <w:rFonts w:hint="eastAsia" w:ascii="宋体" w:hAnsi="宋体" w:cs="宋体"/>
          <w:color w:val="auto"/>
          <w:kern w:val="0"/>
          <w:highlight w:val="none"/>
        </w:rPr>
        <w:t>号）。</w:t>
      </w:r>
    </w:p>
    <w:tbl>
      <w:tblPr>
        <w:tblStyle w:val="9"/>
        <w:tblW w:w="966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65"/>
        <w:gridCol w:w="2037"/>
        <w:gridCol w:w="1952"/>
        <w:gridCol w:w="26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1" w:hRule="atLeast"/>
        </w:trPr>
        <w:tc>
          <w:tcPr>
            <w:tcW w:w="3065" w:type="dxa"/>
            <w:tcBorders>
              <w:top w:val="single" w:color="auto" w:sz="4" w:space="0"/>
              <w:left w:val="single" w:color="auto" w:sz="4" w:space="0"/>
              <w:bottom w:val="single" w:color="auto" w:sz="4" w:space="0"/>
              <w:right w:val="single" w:color="auto" w:sz="4" w:space="0"/>
            </w:tcBorders>
          </w:tcPr>
          <w:p>
            <w:pPr>
              <w:ind w:firstLine="1275"/>
              <w:rPr>
                <w:rFonts w:ascii="宋体" w:hAnsi="宋体"/>
                <w:color w:val="auto"/>
                <w:highlight w:val="none"/>
              </w:rPr>
            </w:pPr>
            <w:r>
              <w:rPr>
                <w:rFonts w:ascii="宋体" w:hAnsi="宋体"/>
                <w:color w:val="auto"/>
                <w:highlight w:val="none"/>
              </w:rPr>
              <mc:AlternateContent>
                <mc:Choice Requires="wps">
                  <w:drawing>
                    <wp:anchor distT="0" distB="0" distL="114300" distR="114300" simplePos="0" relativeHeight="251660288" behindDoc="0" locked="0" layoutInCell="1" allowOverlap="1">
                      <wp:simplePos x="0" y="0"/>
                      <wp:positionH relativeFrom="column">
                        <wp:posOffset>-31750</wp:posOffset>
                      </wp:positionH>
                      <wp:positionV relativeFrom="paragraph">
                        <wp:posOffset>34925</wp:posOffset>
                      </wp:positionV>
                      <wp:extent cx="1894840" cy="1348740"/>
                      <wp:effectExtent l="2540" t="3810" r="7620" b="19050"/>
                      <wp:wrapNone/>
                      <wp:docPr id="2" name="直接连接符 2"/>
                      <wp:cNvGraphicFramePr/>
                      <a:graphic xmlns:a="http://schemas.openxmlformats.org/drawingml/2006/main">
                        <a:graphicData uri="http://schemas.microsoft.com/office/word/2010/wordprocessingShape">
                          <wps:wsp>
                            <wps:cNvCnPr/>
                            <wps:spPr>
                              <a:xfrm>
                                <a:off x="0" y="0"/>
                                <a:ext cx="1428750" cy="1006475"/>
                              </a:xfrm>
                              <a:prstGeom prst="line">
                                <a:avLst/>
                              </a:prstGeom>
                              <a:ln w="9525" cap="flat" cmpd="sng">
                                <a:solidFill>
                                  <a:srgbClr val="000000"/>
                                </a:solidFill>
                                <a:prstDash val="solid"/>
                                <a:headEnd type="none" w="med" len="med"/>
                                <a:tailEnd type="none" w="med" len="med"/>
                              </a:ln>
                              <a:effectLst/>
                            </wps:spPr>
                            <wps:bodyPr upright="1"/>
                          </wps:wsp>
                        </a:graphicData>
                      </a:graphic>
                    </wp:anchor>
                  </w:drawing>
                </mc:Choice>
                <mc:Fallback>
                  <w:pict>
                    <v:line id="_x0000_s1026" o:spid="_x0000_s1026" o:spt="20" style="position:absolute;left:0pt;margin-left:-2.5pt;margin-top:2.75pt;height:106.2pt;width:149.2pt;z-index:251660288;mso-width-relative:page;mso-height-relative:page;" filled="f" stroked="t" coordsize="21600,21600" o:gfxdata="UEsDBAoAAAAAAIdO4kAAAAAAAAAAAAAAAAAEAAAAZHJzL1BLAwQUAAAACACHTuJAFCUpU9gAAAAI&#10;AQAADwAAAGRycy9kb3ducmV2LnhtbE2PvU7DQBCEeyTe4bRINFFytoOBGJ9TAO5oCCDajW+xLXx7&#10;ju/yA0/PUkE3q1nNfFOuT25QB5pC79lAukhAETfe9twaeH2p57egQkS2OHgmA18UYF2dn5VYWH/k&#10;ZzpsYqskhEOBBroYx0Lr0HTkMCz8SCzeh58cRjmnVtsJjxLuBp0lybV22LM0dDjSfUfN52bvDIT6&#10;jXb196yZJe/L1lO2e3h6RGMuL9LkDlSkU/x7hl98QYdKmLZ+zzaowcA8lynRQJ6DEjtbLa9AbUWk&#10;NyvQVan/D6h+AFBLAwQUAAAACACHTuJAgLyhw/0BAAD4AwAADgAAAGRycy9lMm9Eb2MueG1srVNN&#10;jtMwFN4jcQfLe5ommjJD1HQWU4YNgkrAAV5tJ7HkP9lu016CCyCxgxVL9txmhmPw7IQyDJsuyMJ5&#10;9vv8+X2fn5fXB63IXvggrWloOZtTIgyzXJquoR/e3z67oiREMByUNaKhRxHo9erpk+XgalHZ3iou&#10;PEESE+rBNbSP0dVFEVgvNISZdcJgsrVeQ8Sp7wruYUB2rYpqPn9eDNZz5y0TIeDqekzSidGfQ2jb&#10;VjKxtmynhYkjqxcKIkoKvXSBrnK1bStYfNu2QUSiGopKYx7xEIy3aSxWS6g7D66XbCoBzinhkSYN&#10;0uChJ6o1RCA7L/+h0pJ5G2wbZ8zqYhSSHUEV5fyRN+96cCJrQauDO5ke/h8te7PfeCJ5QytKDGi8&#10;8PtP3+8+fvn54zOO99++kiqZNLhQI/bGbPw0C27jk+JD63X6oxZyyMYeT8aKQyQMF8uL6upygZ4z&#10;zJXYBBeXi8Ra/NnufIivhNUkBQ1V0iTlUMP+dYgj9DckLStDhoa+WFQLJAVswxavH0PtUEowXd4b&#10;rJL8ViqVdgTfbW+UJ3tIrZC/qYS/YOmQNYR+xOVUgkHdC+AvDSfx6NAkg2+DphK04JQogU8pRRkZ&#10;QapzkKhemUQtcqNOOpPTo7cp2lp+xAvaOS+7Hn0pc80pgw2RDZyaN3XcwznGDx/s6h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AUJSlT2AAAAAgBAAAPAAAAAAAAAAEAIAAAACIAAABkcnMvZG93bnJl&#10;di54bWxQSwECFAAUAAAACACHTuJAgLyhw/0BAAD4AwAADgAAAAAAAAABACAAAAAnAQAAZHJzL2Uy&#10;b0RvYy54bWxQSwUGAAAAAAYABgBZAQAAlgUAAAAA&#10;">
                      <v:fill on="f" focussize="0,0"/>
                      <v:stroke color="#000000" joinstyle="round"/>
                      <v:imagedata o:title=""/>
                      <o:lock v:ext="edit" aspectratio="f"/>
                    </v:line>
                  </w:pict>
                </mc:Fallback>
              </mc:AlternateContent>
            </w:r>
            <w:r>
              <w:rPr>
                <w:rFonts w:ascii="宋体" w:hAnsi="宋体"/>
                <w:color w:val="auto"/>
                <w:highlight w:val="none"/>
              </w:rPr>
              <mc:AlternateContent>
                <mc:Choice Requires="wps">
                  <w:drawing>
                    <wp:anchor distT="0" distB="0" distL="114300" distR="114300" simplePos="0" relativeHeight="251659264" behindDoc="0" locked="0" layoutInCell="0" allowOverlap="1">
                      <wp:simplePos x="0" y="0"/>
                      <wp:positionH relativeFrom="column">
                        <wp:posOffset>-114300</wp:posOffset>
                      </wp:positionH>
                      <wp:positionV relativeFrom="paragraph">
                        <wp:posOffset>-6350</wp:posOffset>
                      </wp:positionV>
                      <wp:extent cx="635" cy="0"/>
                      <wp:effectExtent l="0" t="0" r="0" b="0"/>
                      <wp:wrapNone/>
                      <wp:docPr id="3" name="直接连接符 3"/>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a:effectLst/>
                            </wps:spPr>
                            <wps:bodyPr upright="1"/>
                          </wps:wsp>
                        </a:graphicData>
                      </a:graphic>
                    </wp:anchor>
                  </w:drawing>
                </mc:Choice>
                <mc:Fallback>
                  <w:pict>
                    <v:line id="_x0000_s1026" o:spid="_x0000_s1026" o:spt="20" style="position:absolute;left:0pt;margin-left:-9pt;margin-top:-0.5pt;height:0pt;width:0.05pt;z-index:251659264;mso-width-relative:page;mso-height-relative:page;" filled="f" stroked="t" coordsize="21600,21600" o:allowincell="f" o:gfxdata="UEsDBAoAAAAAAIdO4kAAAAAAAAAAAAAAAAAEAAAAZHJzL1BLAwQUAAAACACHTuJAa5HTftUAAAAJ&#10;AQAADwAAAGRycy9kb3ducmV2LnhtbE2Py07DMBBF90j8gzVIbKrUTpGghDhdANmxoYDYTuMhiYjH&#10;aew+4OuZigWs5nV159xydfSD2tMU+8AW8rkBRdwE13Nr4fWlzpagYkJ2OAQmC18UYVWdn5VYuHDg&#10;Z9qvU6vEhGOBFrqUxkLr2HTkMc7DSCy3jzB5TDJOrXYTHsTcD3phzLX22LN86HCk+46az/XOW4j1&#10;G23r71kzM+9XbaDF9uHpEa29vMjNHahEx/QnhhO+oEMlTJuwYxfVYCHLl5IlnRqpIsjym1tQm9+F&#10;rkr9P0H1A1BLAwQUAAAACACHTuJAT+q8NvUBAADuAwAADgAAAGRycy9lMm9Eb2MueG1srVNLjhMx&#10;EN0jcQfLe9L5aEbQSmcWE4YNgpGAA1Rsd7cl/+Ry0skluAASO1ixZM9tGI5B2Z0Jw7DJgl64y+Wq&#10;V/Wey8urvTVspyJq7xo+m0w5U054qV3X8A/vb5495wwTOAnGO9Xwg0J+tXr6ZDmEWs19741UkRGI&#10;w3oIDe9TCnVVoeiVBZz4oBwdtj5aSLSNXSUjDIRuTTWfTi+rwUcZohcKkbzr8ZAfEeM5gL5ttVBr&#10;L7ZWuTSiRmUgESXsdUC+Kt22rRLpbduiSsw0nJimslIRsjd5rVZLqLsIodfi2AKc08IjTha0o6In&#10;qDUkYNuo/4GyWkSPvk0T4W01EimKEIvZ9JE273oIqnAhqTGcRMf/Byve7G4j07LhC84cWLrwu0/f&#10;f3788uvHZ1rvvn1liyzSELCm2Gt3G487DLcxM9630eY/cWH7IuzhJKzaJybIebm44Ezc+6s/SSFi&#10;eqW8ZdlouNEu84Uadq8xUSEKvQ/JbuPY0PAXF/MMBzR8LV06mTYQAXRdyUVvtLzRxuQMjN3m2kS2&#10;gzwA5ct0CPevsFxkDdiPceVoHI1egXzpJEuHQNI4ehE8t2CV5MwoekDZIkCoE2hzTiSVNi4nqDKe&#10;R55Z31HRbG28PNC1bEPUXU+6zErP+YTGoHR/HNk8Zw/3ZD98pq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AAAAAGRycy9QSwECFAAUAAAA&#10;CACHTuJAa5HTftUAAAAJAQAADwAAAAAAAAABACAAAAAiAAAAZHJzL2Rvd25yZXYueG1sUEsBAhQA&#10;FAAAAAgAh07iQE/qvDb1AQAA7gMAAA4AAAAAAAAAAQAgAAAAJAEAAGRycy9lMm9Eb2MueG1sUEsF&#10;BgAAAAAGAAYAWQEAAIsFAAAAAA==&#10;">
                      <v:fill on="f" focussize="0,0"/>
                      <v:stroke color="#000000" joinstyle="round"/>
                      <v:imagedata o:title=""/>
                      <o:lock v:ext="edit" aspectratio="f"/>
                    </v:line>
                  </w:pict>
                </mc:Fallback>
              </mc:AlternateContent>
            </w:r>
            <w:r>
              <w:rPr>
                <w:rFonts w:hint="eastAsia" w:ascii="宋体" w:hAnsi="宋体" w:cs="宋体"/>
                <w:color w:val="auto"/>
                <w:highlight w:val="none"/>
              </w:rPr>
              <w:t>服</w:t>
            </w:r>
          </w:p>
          <w:p>
            <w:pPr>
              <w:ind w:firstLine="211"/>
              <w:rPr>
                <w:rFonts w:ascii="宋体" w:hAnsi="宋体"/>
                <w:color w:val="auto"/>
                <w:highlight w:val="none"/>
              </w:rPr>
            </w:pPr>
            <w:r>
              <w:rPr>
                <w:rFonts w:hint="eastAsia" w:ascii="宋体" w:hAnsi="宋体" w:cs="宋体"/>
                <w:color w:val="auto"/>
                <w:highlight w:val="none"/>
              </w:rPr>
              <w:t>费　　　　</w:t>
            </w:r>
            <w:r>
              <w:rPr>
                <w:rFonts w:hint="eastAsia" w:ascii="宋体" w:hAnsi="宋体" w:cs="宋体"/>
                <w:color w:val="auto"/>
                <w:highlight w:val="none"/>
                <w:lang w:val="en-US" w:eastAsia="zh-CN"/>
              </w:rPr>
              <w:t xml:space="preserve">   </w:t>
            </w:r>
            <w:r>
              <w:rPr>
                <w:rFonts w:hint="eastAsia" w:ascii="宋体" w:hAnsi="宋体" w:cs="宋体"/>
                <w:color w:val="auto"/>
                <w:highlight w:val="none"/>
              </w:rPr>
              <w:t>　务</w:t>
            </w:r>
          </w:p>
          <w:p>
            <w:pPr>
              <w:ind w:firstLine="1004"/>
              <w:rPr>
                <w:rFonts w:ascii="宋体" w:hAnsi="宋体"/>
                <w:color w:val="auto"/>
                <w:highlight w:val="none"/>
              </w:rPr>
            </w:pPr>
            <w:r>
              <w:rPr>
                <w:rFonts w:ascii="宋体" w:hAnsi="宋体"/>
                <w:color w:val="auto"/>
                <w:highlight w:val="none"/>
              </w:rPr>
              <mc:AlternateContent>
                <mc:Choice Requires="wps">
                  <w:drawing>
                    <wp:anchor distT="0" distB="0" distL="114300" distR="114300" simplePos="0" relativeHeight="251661312" behindDoc="0" locked="0" layoutInCell="1" allowOverlap="1">
                      <wp:simplePos x="0" y="0"/>
                      <wp:positionH relativeFrom="column">
                        <wp:posOffset>-57150</wp:posOffset>
                      </wp:positionH>
                      <wp:positionV relativeFrom="paragraph">
                        <wp:posOffset>245110</wp:posOffset>
                      </wp:positionV>
                      <wp:extent cx="1914525" cy="571500"/>
                      <wp:effectExtent l="1270" t="4445" r="8255" b="14605"/>
                      <wp:wrapNone/>
                      <wp:docPr id="1" name="直接连接符 1"/>
                      <wp:cNvGraphicFramePr/>
                      <a:graphic xmlns:a="http://schemas.openxmlformats.org/drawingml/2006/main">
                        <a:graphicData uri="http://schemas.microsoft.com/office/word/2010/wordprocessingShape">
                          <wps:wsp>
                            <wps:cNvCnPr/>
                            <wps:spPr>
                              <a:xfrm>
                                <a:off x="0" y="0"/>
                                <a:ext cx="1666875" cy="600075"/>
                              </a:xfrm>
                              <a:prstGeom prst="line">
                                <a:avLst/>
                              </a:prstGeom>
                              <a:ln w="9525" cap="flat" cmpd="sng">
                                <a:solidFill>
                                  <a:srgbClr val="000000"/>
                                </a:solidFill>
                                <a:prstDash val="solid"/>
                                <a:headEnd type="none" w="med" len="med"/>
                                <a:tailEnd type="none" w="med" len="med"/>
                              </a:ln>
                              <a:effectLst/>
                            </wps:spPr>
                            <wps:bodyPr upright="1"/>
                          </wps:wsp>
                        </a:graphicData>
                      </a:graphic>
                    </wp:anchor>
                  </w:drawing>
                </mc:Choice>
                <mc:Fallback>
                  <w:pict>
                    <v:line id="_x0000_s1026" o:spid="_x0000_s1026" o:spt="20" style="position:absolute;left:0pt;margin-left:-4.5pt;margin-top:19.3pt;height:45pt;width:150.75pt;z-index:251661312;mso-width-relative:page;mso-height-relative:page;" filled="f" stroked="t" coordsize="21600,21600" o:gfxdata="UEsDBAoAAAAAAIdO4kAAAAAAAAAAAAAAAAAEAAAAZHJzL1BLAwQUAAAACACHTuJAATSVkNcAAAAJ&#10;AQAADwAAAGRycy9kb3ducmV2LnhtbE2PzU7DMBCE70i8g7VIXKrWbiqqNsTpAciNCy2I6zZekoh4&#10;ncbuDzw9ywmOOzOa/abYXHyvTjTGLrCF+cyAIq6D67ix8LqrpitQMSE77AOThS+KsCmvrwrMXTjz&#10;C522qVFSwjFHC21KQ651rFvyGGdhIBbvI4wek5xjo92IZyn3vc6MWWqPHcuHFgd6aKn+3B69hVi9&#10;0aH6ntQT875oAmWHx+cntPb2Zm7uQSW6pL8w/OILOpTCtA9HdlH1FqZrmZIsLFZLUOJn6+wO1F6C&#10;mSi6LPT/BeUPUEsDBBQAAAAIAIdO4kBhprw2+wEAAPcDAAAOAAAAZHJzL2Uyb0RvYy54bWytU82O&#10;0zAQviPxDpbvNGmlLUvUdA9blguClYAHmDpOYsl/8rhN+xK8ABI3OHHkztuw+xiMnVCW5dIDOThj&#10;z+fP830er64ORrO9DKicrfl8VnImrXCNsl3NP7y/eXbJGUawDWhnZc2PEvnV+umT1eAruXC9040M&#10;jEgsVoOveR+jr4oCRS8N4Mx5aSnZumAg0jR0RRNgIHaji0VZLovBhcYHJyQirW7GJJ8YwzmErm2V&#10;kBsndkbaOLIGqSGSJOyVR77O1batFPFt26KMTNeclMY80iEUb9NYrFdQdQF8r8RUApxTwiNNBpSl&#10;Q09UG4jAdkH9Q2WUCA5dG2fCmWIUkh0hFfPykTfvevAyayGr0Z9Mx/9HK97sbwNTDXUCZxYMXfjd&#10;p+8/P365//GZxrtvX9k8mTR4rAh7bW/DNEN/G5LiQxtM+pMWdsjGHk/GykNkghbny+Xy8vkFZ4Jy&#10;y7IsKSaa4s9uHzC+ks6wFNRcK5uEQwX71xhH6G9IWtaWDTV/cbFInEBd2NLtU2g8KUHb5b3otGpu&#10;lNZpB4Zue60D20PqhPxNJfwFS4dsAPsRl1MJBlUvoXlpGxaPnjyy9DR4KsHIhjMt6SWlKCMjKH0O&#10;ktRrm6hl7tNJZzJ6tDZFW9cc6X52PqiuJ1/yXRQpQ/2QDZx6NzXcwznFD9/r+h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ABNJWQ1wAAAAkBAAAPAAAAAAAAAAEAIAAAACIAAABkcnMvZG93bnJldi54&#10;bWxQSwECFAAUAAAACACHTuJAYaa8NvsBAAD3AwAADgAAAAAAAAABACAAAAAmAQAAZHJzL2Uyb0Rv&#10;Yy54bWxQSwUGAAAAAAYABgBZAQAAkwUAAAAA&#10;">
                      <v:fill on="f" focussize="0,0"/>
                      <v:stroke color="#000000" joinstyle="round"/>
                      <v:imagedata o:title=""/>
                      <o:lock v:ext="edit" aspectratio="f"/>
                    </v:line>
                  </w:pict>
                </mc:Fallback>
              </mc:AlternateContent>
            </w:r>
            <w:r>
              <w:rPr>
                <w:rFonts w:hint="eastAsia" w:ascii="宋体" w:hAnsi="宋体" w:cs="宋体"/>
                <w:color w:val="auto"/>
                <w:highlight w:val="none"/>
              </w:rPr>
              <w:t>　　</w:t>
            </w:r>
            <w:r>
              <w:rPr>
                <w:rFonts w:hint="eastAsia" w:ascii="宋体" w:hAnsi="宋体" w:cs="宋体"/>
                <w:color w:val="auto"/>
                <w:highlight w:val="none"/>
                <w:lang w:val="en-US" w:eastAsia="zh-CN"/>
              </w:rPr>
              <w:t xml:space="preserve">       </w:t>
            </w:r>
            <w:r>
              <w:rPr>
                <w:rFonts w:hint="eastAsia" w:ascii="宋体" w:hAnsi="宋体" w:cs="宋体"/>
                <w:color w:val="auto"/>
                <w:highlight w:val="none"/>
              </w:rPr>
              <w:t>类</w:t>
            </w:r>
          </w:p>
          <w:p>
            <w:pPr>
              <w:ind w:firstLine="1575" w:firstLineChars="750"/>
              <w:rPr>
                <w:rFonts w:ascii="宋体" w:hAnsi="宋体"/>
                <w:color w:val="auto"/>
                <w:highlight w:val="none"/>
              </w:rPr>
            </w:pPr>
            <w:r>
              <w:rPr>
                <w:rFonts w:hint="eastAsia" w:ascii="宋体" w:hAnsi="宋体" w:cs="宋体"/>
                <w:color w:val="auto"/>
                <w:highlight w:val="none"/>
              </w:rPr>
              <w:t>率　　</w:t>
            </w:r>
            <w:r>
              <w:rPr>
                <w:rFonts w:hint="eastAsia" w:ascii="宋体" w:hAnsi="宋体" w:cs="宋体"/>
                <w:color w:val="auto"/>
                <w:highlight w:val="none"/>
                <w:lang w:val="en-US" w:eastAsia="zh-CN"/>
              </w:rPr>
              <w:t xml:space="preserve">  </w:t>
            </w:r>
            <w:r>
              <w:rPr>
                <w:rFonts w:hint="eastAsia" w:ascii="宋体" w:hAnsi="宋体" w:cs="宋体"/>
                <w:color w:val="auto"/>
                <w:highlight w:val="none"/>
              </w:rPr>
              <w:t>　型</w:t>
            </w:r>
          </w:p>
          <w:p>
            <w:pPr>
              <w:rPr>
                <w:rFonts w:ascii="宋体" w:hAnsi="宋体"/>
                <w:color w:val="auto"/>
                <w:highlight w:val="none"/>
              </w:rPr>
            </w:pPr>
            <w:r>
              <w:rPr>
                <w:rFonts w:hint="eastAsia" w:ascii="宋体" w:hAnsi="宋体" w:cs="宋体"/>
                <w:color w:val="auto"/>
                <w:highlight w:val="none"/>
              </w:rPr>
              <w:t>中标金额（万元）</w:t>
            </w:r>
          </w:p>
        </w:tc>
        <w:tc>
          <w:tcPr>
            <w:tcW w:w="203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auto"/>
                <w:highlight w:val="none"/>
              </w:rPr>
            </w:pPr>
            <w:r>
              <w:rPr>
                <w:rFonts w:hint="eastAsia" w:ascii="宋体" w:hAnsi="宋体" w:cs="宋体"/>
                <w:color w:val="auto"/>
                <w:highlight w:val="none"/>
              </w:rPr>
              <w:t>货物招标</w:t>
            </w:r>
          </w:p>
        </w:tc>
        <w:tc>
          <w:tcPr>
            <w:tcW w:w="1952"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auto"/>
                <w:highlight w:val="none"/>
              </w:rPr>
            </w:pPr>
            <w:r>
              <w:rPr>
                <w:rFonts w:hint="eastAsia" w:ascii="宋体" w:hAnsi="宋体" w:cs="宋体"/>
                <w:color w:val="auto"/>
                <w:highlight w:val="none"/>
              </w:rPr>
              <w:t>服务招标</w:t>
            </w:r>
          </w:p>
        </w:tc>
        <w:tc>
          <w:tcPr>
            <w:tcW w:w="2612"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auto"/>
                <w:highlight w:val="none"/>
              </w:rPr>
            </w:pPr>
            <w:r>
              <w:rPr>
                <w:rFonts w:hint="eastAsia" w:ascii="宋体" w:hAnsi="宋体" w:cs="宋体"/>
                <w:color w:val="auto"/>
                <w:highlight w:val="none"/>
              </w:rPr>
              <w:t>工程招标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3065" w:type="dxa"/>
            <w:tcBorders>
              <w:top w:val="single" w:color="auto" w:sz="4" w:space="0"/>
              <w:left w:val="single" w:color="auto" w:sz="4" w:space="0"/>
              <w:bottom w:val="single" w:color="auto" w:sz="4" w:space="0"/>
              <w:right w:val="single" w:color="auto" w:sz="4" w:space="0"/>
            </w:tcBorders>
          </w:tcPr>
          <w:p>
            <w:pPr>
              <w:jc w:val="center"/>
              <w:rPr>
                <w:rFonts w:ascii="宋体" w:hAnsi="宋体"/>
                <w:color w:val="auto"/>
                <w:highlight w:val="none"/>
              </w:rPr>
            </w:pPr>
            <w:r>
              <w:rPr>
                <w:rFonts w:ascii="宋体" w:hAnsi="宋体"/>
                <w:color w:val="auto"/>
                <w:highlight w:val="none"/>
              </w:rPr>
              <w:t>100</w:t>
            </w:r>
            <w:r>
              <w:rPr>
                <w:rFonts w:hint="eastAsia" w:ascii="宋体" w:hAnsi="宋体" w:cs="宋体"/>
                <w:color w:val="auto"/>
                <w:highlight w:val="none"/>
              </w:rPr>
              <w:t>以下</w:t>
            </w:r>
          </w:p>
        </w:tc>
        <w:tc>
          <w:tcPr>
            <w:tcW w:w="2037" w:type="dxa"/>
            <w:tcBorders>
              <w:top w:val="single" w:color="auto" w:sz="4" w:space="0"/>
              <w:left w:val="single" w:color="auto" w:sz="4" w:space="0"/>
              <w:bottom w:val="single" w:color="auto" w:sz="4" w:space="0"/>
              <w:right w:val="single" w:color="auto" w:sz="4" w:space="0"/>
            </w:tcBorders>
          </w:tcPr>
          <w:p>
            <w:pPr>
              <w:jc w:val="center"/>
              <w:rPr>
                <w:rFonts w:ascii="宋体" w:hAnsi="宋体"/>
                <w:color w:val="auto"/>
                <w:highlight w:val="none"/>
              </w:rPr>
            </w:pPr>
            <w:r>
              <w:rPr>
                <w:rFonts w:ascii="宋体" w:hAnsi="宋体"/>
                <w:color w:val="auto"/>
                <w:highlight w:val="none"/>
              </w:rPr>
              <w:t>1.5%</w:t>
            </w:r>
          </w:p>
        </w:tc>
        <w:tc>
          <w:tcPr>
            <w:tcW w:w="1952" w:type="dxa"/>
            <w:tcBorders>
              <w:top w:val="single" w:color="auto" w:sz="4" w:space="0"/>
              <w:left w:val="single" w:color="auto" w:sz="4" w:space="0"/>
              <w:bottom w:val="single" w:color="auto" w:sz="4" w:space="0"/>
              <w:right w:val="single" w:color="auto" w:sz="4" w:space="0"/>
            </w:tcBorders>
          </w:tcPr>
          <w:p>
            <w:pPr>
              <w:jc w:val="center"/>
              <w:rPr>
                <w:rFonts w:ascii="宋体" w:hAnsi="宋体"/>
                <w:color w:val="auto"/>
                <w:highlight w:val="none"/>
              </w:rPr>
            </w:pPr>
            <w:r>
              <w:rPr>
                <w:rFonts w:ascii="宋体" w:hAnsi="宋体"/>
                <w:color w:val="auto"/>
                <w:highlight w:val="none"/>
              </w:rPr>
              <w:t>1.5%</w:t>
            </w:r>
          </w:p>
        </w:tc>
        <w:tc>
          <w:tcPr>
            <w:tcW w:w="2612" w:type="dxa"/>
            <w:tcBorders>
              <w:top w:val="single" w:color="auto" w:sz="4" w:space="0"/>
              <w:left w:val="single" w:color="auto" w:sz="4" w:space="0"/>
              <w:bottom w:val="single" w:color="auto" w:sz="4" w:space="0"/>
              <w:right w:val="single" w:color="auto" w:sz="4" w:space="0"/>
            </w:tcBorders>
          </w:tcPr>
          <w:p>
            <w:pPr>
              <w:jc w:val="center"/>
              <w:rPr>
                <w:rFonts w:ascii="宋体" w:hAnsi="宋体"/>
                <w:color w:val="auto"/>
                <w:highlight w:val="none"/>
              </w:rPr>
            </w:pPr>
            <w:r>
              <w:rPr>
                <w:rFonts w:ascii="宋体" w:hAnsi="宋体"/>
                <w:color w:val="auto"/>
                <w:highlight w:val="none"/>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3065" w:type="dxa"/>
            <w:tcBorders>
              <w:top w:val="single" w:color="auto" w:sz="4" w:space="0"/>
              <w:left w:val="single" w:color="auto" w:sz="4" w:space="0"/>
              <w:bottom w:val="single" w:color="auto" w:sz="4" w:space="0"/>
              <w:right w:val="single" w:color="auto" w:sz="4" w:space="0"/>
            </w:tcBorders>
          </w:tcPr>
          <w:p>
            <w:pPr>
              <w:jc w:val="center"/>
              <w:rPr>
                <w:rFonts w:ascii="宋体" w:hAnsi="宋体"/>
                <w:color w:val="auto"/>
                <w:highlight w:val="none"/>
              </w:rPr>
            </w:pPr>
            <w:r>
              <w:rPr>
                <w:rFonts w:ascii="宋体" w:hAnsi="宋体"/>
                <w:color w:val="auto"/>
                <w:highlight w:val="none"/>
              </w:rPr>
              <w:t>100-500</w:t>
            </w:r>
          </w:p>
        </w:tc>
        <w:tc>
          <w:tcPr>
            <w:tcW w:w="2037" w:type="dxa"/>
            <w:tcBorders>
              <w:top w:val="single" w:color="auto" w:sz="4" w:space="0"/>
              <w:left w:val="single" w:color="auto" w:sz="4" w:space="0"/>
              <w:bottom w:val="single" w:color="auto" w:sz="4" w:space="0"/>
              <w:right w:val="single" w:color="auto" w:sz="4" w:space="0"/>
            </w:tcBorders>
          </w:tcPr>
          <w:p>
            <w:pPr>
              <w:jc w:val="center"/>
              <w:rPr>
                <w:rFonts w:ascii="宋体" w:hAnsi="宋体"/>
                <w:color w:val="auto"/>
                <w:highlight w:val="none"/>
              </w:rPr>
            </w:pPr>
            <w:r>
              <w:rPr>
                <w:rFonts w:ascii="宋体" w:hAnsi="宋体"/>
                <w:color w:val="auto"/>
                <w:highlight w:val="none"/>
              </w:rPr>
              <w:t>1.1%</w:t>
            </w:r>
          </w:p>
        </w:tc>
        <w:tc>
          <w:tcPr>
            <w:tcW w:w="1952" w:type="dxa"/>
            <w:tcBorders>
              <w:top w:val="single" w:color="auto" w:sz="4" w:space="0"/>
              <w:left w:val="single" w:color="auto" w:sz="4" w:space="0"/>
              <w:bottom w:val="single" w:color="auto" w:sz="4" w:space="0"/>
              <w:right w:val="single" w:color="auto" w:sz="4" w:space="0"/>
            </w:tcBorders>
          </w:tcPr>
          <w:p>
            <w:pPr>
              <w:jc w:val="center"/>
              <w:rPr>
                <w:rFonts w:ascii="宋体" w:hAnsi="宋体"/>
                <w:color w:val="auto"/>
                <w:highlight w:val="none"/>
              </w:rPr>
            </w:pPr>
            <w:r>
              <w:rPr>
                <w:rFonts w:ascii="宋体" w:hAnsi="宋体"/>
                <w:color w:val="auto"/>
                <w:highlight w:val="none"/>
              </w:rPr>
              <w:t>0.8%</w:t>
            </w:r>
          </w:p>
        </w:tc>
        <w:tc>
          <w:tcPr>
            <w:tcW w:w="2612" w:type="dxa"/>
            <w:tcBorders>
              <w:top w:val="single" w:color="auto" w:sz="4" w:space="0"/>
              <w:left w:val="single" w:color="auto" w:sz="4" w:space="0"/>
              <w:bottom w:val="single" w:color="auto" w:sz="4" w:space="0"/>
              <w:right w:val="single" w:color="auto" w:sz="4" w:space="0"/>
            </w:tcBorders>
          </w:tcPr>
          <w:p>
            <w:pPr>
              <w:jc w:val="center"/>
              <w:rPr>
                <w:rFonts w:ascii="宋体" w:hAnsi="宋体"/>
                <w:color w:val="auto"/>
                <w:highlight w:val="none"/>
              </w:rPr>
            </w:pPr>
            <w:r>
              <w:rPr>
                <w:rFonts w:ascii="宋体" w:hAnsi="宋体"/>
                <w:color w:val="auto"/>
                <w:highlight w:val="none"/>
              </w:rPr>
              <w:t>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3065" w:type="dxa"/>
            <w:tcBorders>
              <w:top w:val="single" w:color="auto" w:sz="4" w:space="0"/>
              <w:left w:val="single" w:color="auto" w:sz="4" w:space="0"/>
              <w:bottom w:val="single" w:color="auto" w:sz="4" w:space="0"/>
              <w:right w:val="single" w:color="auto" w:sz="4" w:space="0"/>
            </w:tcBorders>
          </w:tcPr>
          <w:p>
            <w:pPr>
              <w:jc w:val="center"/>
              <w:rPr>
                <w:rFonts w:ascii="宋体" w:hAnsi="宋体"/>
                <w:color w:val="auto"/>
                <w:highlight w:val="none"/>
              </w:rPr>
            </w:pPr>
            <w:r>
              <w:rPr>
                <w:rFonts w:ascii="宋体" w:hAnsi="宋体"/>
                <w:color w:val="auto"/>
                <w:highlight w:val="none"/>
              </w:rPr>
              <w:t>500-1000</w:t>
            </w:r>
          </w:p>
        </w:tc>
        <w:tc>
          <w:tcPr>
            <w:tcW w:w="2037" w:type="dxa"/>
            <w:tcBorders>
              <w:top w:val="single" w:color="auto" w:sz="4" w:space="0"/>
              <w:left w:val="single" w:color="auto" w:sz="4" w:space="0"/>
              <w:bottom w:val="single" w:color="auto" w:sz="4" w:space="0"/>
              <w:right w:val="single" w:color="auto" w:sz="4" w:space="0"/>
            </w:tcBorders>
          </w:tcPr>
          <w:p>
            <w:pPr>
              <w:jc w:val="center"/>
              <w:rPr>
                <w:rFonts w:ascii="宋体" w:hAnsi="宋体"/>
                <w:color w:val="auto"/>
                <w:highlight w:val="none"/>
              </w:rPr>
            </w:pPr>
            <w:r>
              <w:rPr>
                <w:rFonts w:ascii="宋体" w:hAnsi="宋体"/>
                <w:color w:val="auto"/>
                <w:highlight w:val="none"/>
              </w:rPr>
              <w:t>0.8%</w:t>
            </w:r>
          </w:p>
        </w:tc>
        <w:tc>
          <w:tcPr>
            <w:tcW w:w="1952" w:type="dxa"/>
            <w:tcBorders>
              <w:top w:val="single" w:color="auto" w:sz="4" w:space="0"/>
              <w:left w:val="single" w:color="auto" w:sz="4" w:space="0"/>
              <w:bottom w:val="single" w:color="auto" w:sz="4" w:space="0"/>
              <w:right w:val="single" w:color="auto" w:sz="4" w:space="0"/>
            </w:tcBorders>
          </w:tcPr>
          <w:p>
            <w:pPr>
              <w:jc w:val="center"/>
              <w:rPr>
                <w:rFonts w:ascii="宋体" w:hAnsi="宋体"/>
                <w:color w:val="auto"/>
                <w:highlight w:val="none"/>
              </w:rPr>
            </w:pPr>
            <w:r>
              <w:rPr>
                <w:rFonts w:ascii="宋体" w:hAnsi="宋体"/>
                <w:color w:val="auto"/>
                <w:highlight w:val="none"/>
              </w:rPr>
              <w:t>0.45%</w:t>
            </w:r>
          </w:p>
        </w:tc>
        <w:tc>
          <w:tcPr>
            <w:tcW w:w="2612" w:type="dxa"/>
            <w:tcBorders>
              <w:top w:val="single" w:color="auto" w:sz="4" w:space="0"/>
              <w:left w:val="single" w:color="auto" w:sz="4" w:space="0"/>
              <w:bottom w:val="single" w:color="auto" w:sz="4" w:space="0"/>
              <w:right w:val="single" w:color="auto" w:sz="4" w:space="0"/>
            </w:tcBorders>
          </w:tcPr>
          <w:p>
            <w:pPr>
              <w:jc w:val="center"/>
              <w:rPr>
                <w:rFonts w:ascii="宋体" w:hAnsi="宋体"/>
                <w:color w:val="auto"/>
                <w:highlight w:val="none"/>
              </w:rPr>
            </w:pPr>
            <w:r>
              <w:rPr>
                <w:rFonts w:ascii="宋体" w:hAnsi="宋体"/>
                <w:color w:val="auto"/>
                <w:highlight w:val="none"/>
              </w:rPr>
              <w:t>0.55%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3065" w:type="dxa"/>
            <w:tcBorders>
              <w:top w:val="single" w:color="auto" w:sz="4" w:space="0"/>
              <w:left w:val="single" w:color="auto" w:sz="4" w:space="0"/>
              <w:bottom w:val="single" w:color="auto" w:sz="4" w:space="0"/>
              <w:right w:val="single" w:color="auto" w:sz="4" w:space="0"/>
            </w:tcBorders>
          </w:tcPr>
          <w:p>
            <w:pPr>
              <w:jc w:val="center"/>
              <w:rPr>
                <w:rFonts w:ascii="宋体" w:hAnsi="宋体"/>
                <w:color w:val="auto"/>
                <w:highlight w:val="none"/>
              </w:rPr>
            </w:pPr>
            <w:r>
              <w:rPr>
                <w:rFonts w:ascii="宋体" w:hAnsi="宋体"/>
                <w:color w:val="auto"/>
                <w:highlight w:val="none"/>
              </w:rPr>
              <w:t>1000-5000</w:t>
            </w:r>
          </w:p>
        </w:tc>
        <w:tc>
          <w:tcPr>
            <w:tcW w:w="2037" w:type="dxa"/>
            <w:tcBorders>
              <w:top w:val="single" w:color="auto" w:sz="4" w:space="0"/>
              <w:left w:val="single" w:color="auto" w:sz="4" w:space="0"/>
              <w:bottom w:val="single" w:color="auto" w:sz="4" w:space="0"/>
              <w:right w:val="single" w:color="auto" w:sz="4" w:space="0"/>
            </w:tcBorders>
          </w:tcPr>
          <w:p>
            <w:pPr>
              <w:jc w:val="center"/>
              <w:rPr>
                <w:rFonts w:ascii="宋体" w:hAnsi="宋体"/>
                <w:color w:val="auto"/>
                <w:highlight w:val="none"/>
              </w:rPr>
            </w:pPr>
            <w:r>
              <w:rPr>
                <w:rFonts w:ascii="宋体" w:hAnsi="宋体"/>
                <w:color w:val="auto"/>
                <w:highlight w:val="none"/>
              </w:rPr>
              <w:t>0.5%</w:t>
            </w:r>
          </w:p>
        </w:tc>
        <w:tc>
          <w:tcPr>
            <w:tcW w:w="1952" w:type="dxa"/>
            <w:tcBorders>
              <w:top w:val="single" w:color="auto" w:sz="4" w:space="0"/>
              <w:left w:val="single" w:color="auto" w:sz="4" w:space="0"/>
              <w:bottom w:val="single" w:color="auto" w:sz="4" w:space="0"/>
              <w:right w:val="single" w:color="auto" w:sz="4" w:space="0"/>
            </w:tcBorders>
          </w:tcPr>
          <w:p>
            <w:pPr>
              <w:jc w:val="center"/>
              <w:rPr>
                <w:rFonts w:ascii="宋体" w:hAnsi="宋体"/>
                <w:color w:val="auto"/>
                <w:highlight w:val="none"/>
              </w:rPr>
            </w:pPr>
            <w:r>
              <w:rPr>
                <w:rFonts w:ascii="宋体" w:hAnsi="宋体"/>
                <w:color w:val="auto"/>
                <w:highlight w:val="none"/>
              </w:rPr>
              <w:t>0.25%</w:t>
            </w:r>
          </w:p>
        </w:tc>
        <w:tc>
          <w:tcPr>
            <w:tcW w:w="2612" w:type="dxa"/>
            <w:tcBorders>
              <w:top w:val="single" w:color="auto" w:sz="4" w:space="0"/>
              <w:left w:val="single" w:color="auto" w:sz="4" w:space="0"/>
              <w:bottom w:val="single" w:color="auto" w:sz="4" w:space="0"/>
              <w:right w:val="single" w:color="auto" w:sz="4" w:space="0"/>
            </w:tcBorders>
          </w:tcPr>
          <w:p>
            <w:pPr>
              <w:jc w:val="center"/>
              <w:rPr>
                <w:rFonts w:ascii="宋体" w:hAnsi="宋体"/>
                <w:color w:val="auto"/>
                <w:highlight w:val="none"/>
              </w:rPr>
            </w:pPr>
            <w:r>
              <w:rPr>
                <w:rFonts w:ascii="宋体" w:hAnsi="宋体"/>
                <w:color w:val="auto"/>
                <w:highlight w:val="none"/>
              </w:rPr>
              <w:t>0.35%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3065" w:type="dxa"/>
            <w:tcBorders>
              <w:top w:val="single" w:color="auto" w:sz="4" w:space="0"/>
              <w:left w:val="single" w:color="auto" w:sz="4" w:space="0"/>
              <w:bottom w:val="single" w:color="auto" w:sz="4" w:space="0"/>
              <w:right w:val="single" w:color="auto" w:sz="4" w:space="0"/>
            </w:tcBorders>
          </w:tcPr>
          <w:p>
            <w:pPr>
              <w:jc w:val="center"/>
              <w:rPr>
                <w:rFonts w:ascii="宋体" w:hAnsi="宋体"/>
                <w:color w:val="auto"/>
                <w:highlight w:val="none"/>
              </w:rPr>
            </w:pPr>
            <w:r>
              <w:rPr>
                <w:rFonts w:ascii="宋体" w:hAnsi="宋体"/>
                <w:color w:val="auto"/>
                <w:highlight w:val="none"/>
              </w:rPr>
              <w:t>5000-10000</w:t>
            </w:r>
          </w:p>
        </w:tc>
        <w:tc>
          <w:tcPr>
            <w:tcW w:w="2037" w:type="dxa"/>
            <w:tcBorders>
              <w:top w:val="single" w:color="auto" w:sz="4" w:space="0"/>
              <w:left w:val="single" w:color="auto" w:sz="4" w:space="0"/>
              <w:bottom w:val="single" w:color="auto" w:sz="4" w:space="0"/>
              <w:right w:val="single" w:color="auto" w:sz="4" w:space="0"/>
            </w:tcBorders>
          </w:tcPr>
          <w:p>
            <w:pPr>
              <w:jc w:val="center"/>
              <w:rPr>
                <w:rFonts w:ascii="宋体" w:hAnsi="宋体"/>
                <w:color w:val="auto"/>
                <w:highlight w:val="none"/>
              </w:rPr>
            </w:pPr>
            <w:r>
              <w:rPr>
                <w:rFonts w:ascii="宋体" w:hAnsi="宋体"/>
                <w:color w:val="auto"/>
                <w:highlight w:val="none"/>
              </w:rPr>
              <w:t>0.25%</w:t>
            </w:r>
          </w:p>
        </w:tc>
        <w:tc>
          <w:tcPr>
            <w:tcW w:w="1952" w:type="dxa"/>
            <w:tcBorders>
              <w:top w:val="single" w:color="auto" w:sz="4" w:space="0"/>
              <w:left w:val="single" w:color="auto" w:sz="4" w:space="0"/>
              <w:bottom w:val="single" w:color="auto" w:sz="4" w:space="0"/>
              <w:right w:val="single" w:color="auto" w:sz="4" w:space="0"/>
            </w:tcBorders>
          </w:tcPr>
          <w:p>
            <w:pPr>
              <w:jc w:val="center"/>
              <w:rPr>
                <w:rFonts w:ascii="宋体" w:hAnsi="宋体"/>
                <w:color w:val="auto"/>
                <w:highlight w:val="none"/>
              </w:rPr>
            </w:pPr>
            <w:r>
              <w:rPr>
                <w:rFonts w:ascii="宋体" w:hAnsi="宋体"/>
                <w:color w:val="auto"/>
                <w:highlight w:val="none"/>
              </w:rPr>
              <w:t>0.1%</w:t>
            </w:r>
          </w:p>
        </w:tc>
        <w:tc>
          <w:tcPr>
            <w:tcW w:w="2612" w:type="dxa"/>
            <w:tcBorders>
              <w:top w:val="single" w:color="auto" w:sz="4" w:space="0"/>
              <w:left w:val="single" w:color="auto" w:sz="4" w:space="0"/>
              <w:bottom w:val="single" w:color="auto" w:sz="4" w:space="0"/>
              <w:right w:val="single" w:color="auto" w:sz="4" w:space="0"/>
            </w:tcBorders>
          </w:tcPr>
          <w:p>
            <w:pPr>
              <w:jc w:val="center"/>
              <w:rPr>
                <w:rFonts w:ascii="宋体" w:hAnsi="宋体"/>
                <w:color w:val="auto"/>
                <w:highlight w:val="none"/>
              </w:rPr>
            </w:pPr>
            <w:r>
              <w:rPr>
                <w:rFonts w:ascii="宋体" w:hAnsi="宋体"/>
                <w:color w:val="auto"/>
                <w:highlight w:val="none"/>
              </w:rPr>
              <w:t>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3065" w:type="dxa"/>
            <w:tcBorders>
              <w:top w:val="single" w:color="auto" w:sz="4" w:space="0"/>
              <w:left w:val="single" w:color="auto" w:sz="4" w:space="0"/>
              <w:bottom w:val="single" w:color="auto" w:sz="4" w:space="0"/>
              <w:right w:val="single" w:color="auto" w:sz="4" w:space="0"/>
            </w:tcBorders>
          </w:tcPr>
          <w:p>
            <w:pPr>
              <w:jc w:val="center"/>
              <w:rPr>
                <w:rFonts w:ascii="宋体" w:hAnsi="宋体"/>
                <w:color w:val="auto"/>
                <w:highlight w:val="none"/>
              </w:rPr>
            </w:pPr>
            <w:r>
              <w:rPr>
                <w:rFonts w:ascii="宋体" w:hAnsi="宋体"/>
                <w:color w:val="auto"/>
                <w:highlight w:val="none"/>
              </w:rPr>
              <w:t>10000-50000</w:t>
            </w:r>
          </w:p>
        </w:tc>
        <w:tc>
          <w:tcPr>
            <w:tcW w:w="2037" w:type="dxa"/>
            <w:tcBorders>
              <w:top w:val="single" w:color="auto" w:sz="4" w:space="0"/>
              <w:left w:val="single" w:color="auto" w:sz="4" w:space="0"/>
              <w:bottom w:val="single" w:color="auto" w:sz="4" w:space="0"/>
              <w:right w:val="single" w:color="auto" w:sz="4" w:space="0"/>
            </w:tcBorders>
          </w:tcPr>
          <w:p>
            <w:pPr>
              <w:jc w:val="center"/>
              <w:rPr>
                <w:rFonts w:ascii="宋体" w:hAnsi="宋体"/>
                <w:color w:val="auto"/>
                <w:highlight w:val="none"/>
              </w:rPr>
            </w:pPr>
            <w:r>
              <w:rPr>
                <w:rFonts w:ascii="宋体" w:hAnsi="宋体"/>
                <w:color w:val="auto"/>
                <w:highlight w:val="none"/>
              </w:rPr>
              <w:t>0.05%</w:t>
            </w:r>
          </w:p>
        </w:tc>
        <w:tc>
          <w:tcPr>
            <w:tcW w:w="1952" w:type="dxa"/>
            <w:tcBorders>
              <w:top w:val="single" w:color="auto" w:sz="4" w:space="0"/>
              <w:left w:val="single" w:color="auto" w:sz="4" w:space="0"/>
              <w:bottom w:val="single" w:color="auto" w:sz="4" w:space="0"/>
              <w:right w:val="single" w:color="auto" w:sz="4" w:space="0"/>
            </w:tcBorders>
          </w:tcPr>
          <w:p>
            <w:pPr>
              <w:jc w:val="center"/>
              <w:rPr>
                <w:rFonts w:ascii="宋体" w:hAnsi="宋体"/>
                <w:color w:val="auto"/>
                <w:highlight w:val="none"/>
              </w:rPr>
            </w:pPr>
            <w:r>
              <w:rPr>
                <w:rFonts w:ascii="宋体" w:hAnsi="宋体"/>
                <w:color w:val="auto"/>
                <w:highlight w:val="none"/>
              </w:rPr>
              <w:t>0.05%</w:t>
            </w:r>
          </w:p>
        </w:tc>
        <w:tc>
          <w:tcPr>
            <w:tcW w:w="2612" w:type="dxa"/>
            <w:tcBorders>
              <w:top w:val="single" w:color="auto" w:sz="4" w:space="0"/>
              <w:left w:val="single" w:color="auto" w:sz="4" w:space="0"/>
              <w:bottom w:val="single" w:color="auto" w:sz="4" w:space="0"/>
              <w:right w:val="single" w:color="auto" w:sz="4" w:space="0"/>
            </w:tcBorders>
          </w:tcPr>
          <w:p>
            <w:pPr>
              <w:jc w:val="center"/>
              <w:rPr>
                <w:rFonts w:ascii="宋体" w:hAnsi="宋体"/>
                <w:color w:val="auto"/>
                <w:highlight w:val="none"/>
              </w:rPr>
            </w:pPr>
            <w:r>
              <w:rPr>
                <w:rFonts w:ascii="宋体" w:hAnsi="宋体"/>
                <w:color w:val="auto"/>
                <w:highlight w:val="none"/>
              </w:rPr>
              <w:t>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3065" w:type="dxa"/>
            <w:tcBorders>
              <w:top w:val="single" w:color="auto" w:sz="4" w:space="0"/>
              <w:left w:val="single" w:color="auto" w:sz="4" w:space="0"/>
              <w:bottom w:val="single" w:color="auto" w:sz="4" w:space="0"/>
              <w:right w:val="single" w:color="auto" w:sz="4" w:space="0"/>
            </w:tcBorders>
          </w:tcPr>
          <w:p>
            <w:pPr>
              <w:jc w:val="center"/>
              <w:rPr>
                <w:rFonts w:ascii="宋体" w:hAnsi="宋体"/>
                <w:color w:val="auto"/>
                <w:highlight w:val="none"/>
              </w:rPr>
            </w:pPr>
            <w:r>
              <w:rPr>
                <w:rFonts w:ascii="宋体" w:hAnsi="宋体"/>
                <w:color w:val="auto"/>
                <w:highlight w:val="none"/>
              </w:rPr>
              <w:t>50000-100000</w:t>
            </w:r>
          </w:p>
        </w:tc>
        <w:tc>
          <w:tcPr>
            <w:tcW w:w="2037" w:type="dxa"/>
            <w:tcBorders>
              <w:top w:val="single" w:color="auto" w:sz="4" w:space="0"/>
              <w:left w:val="single" w:color="auto" w:sz="4" w:space="0"/>
              <w:bottom w:val="single" w:color="auto" w:sz="4" w:space="0"/>
              <w:right w:val="single" w:color="auto" w:sz="4" w:space="0"/>
            </w:tcBorders>
          </w:tcPr>
          <w:p>
            <w:pPr>
              <w:jc w:val="center"/>
              <w:rPr>
                <w:rFonts w:ascii="宋体" w:hAnsi="宋体"/>
                <w:color w:val="auto"/>
                <w:highlight w:val="none"/>
              </w:rPr>
            </w:pPr>
            <w:r>
              <w:rPr>
                <w:rFonts w:ascii="宋体" w:hAnsi="宋体"/>
                <w:color w:val="auto"/>
                <w:highlight w:val="none"/>
              </w:rPr>
              <w:t>0.035%</w:t>
            </w:r>
          </w:p>
        </w:tc>
        <w:tc>
          <w:tcPr>
            <w:tcW w:w="1952" w:type="dxa"/>
            <w:tcBorders>
              <w:top w:val="single" w:color="auto" w:sz="4" w:space="0"/>
              <w:left w:val="single" w:color="auto" w:sz="4" w:space="0"/>
              <w:bottom w:val="single" w:color="auto" w:sz="4" w:space="0"/>
              <w:right w:val="single" w:color="auto" w:sz="4" w:space="0"/>
            </w:tcBorders>
          </w:tcPr>
          <w:p>
            <w:pPr>
              <w:jc w:val="center"/>
              <w:rPr>
                <w:rFonts w:ascii="宋体" w:hAnsi="宋体"/>
                <w:color w:val="auto"/>
                <w:highlight w:val="none"/>
              </w:rPr>
            </w:pPr>
            <w:r>
              <w:rPr>
                <w:rFonts w:ascii="宋体" w:hAnsi="宋体"/>
                <w:color w:val="auto"/>
                <w:highlight w:val="none"/>
              </w:rPr>
              <w:t>0.035%</w:t>
            </w:r>
          </w:p>
        </w:tc>
        <w:tc>
          <w:tcPr>
            <w:tcW w:w="2612" w:type="dxa"/>
            <w:tcBorders>
              <w:top w:val="single" w:color="auto" w:sz="4" w:space="0"/>
              <w:left w:val="single" w:color="auto" w:sz="4" w:space="0"/>
              <w:bottom w:val="single" w:color="auto" w:sz="4" w:space="0"/>
              <w:right w:val="single" w:color="auto" w:sz="4" w:space="0"/>
            </w:tcBorders>
          </w:tcPr>
          <w:p>
            <w:pPr>
              <w:jc w:val="center"/>
              <w:rPr>
                <w:rFonts w:ascii="宋体" w:hAnsi="宋体"/>
                <w:color w:val="auto"/>
                <w:highlight w:val="none"/>
              </w:rPr>
            </w:pPr>
            <w:r>
              <w:rPr>
                <w:rFonts w:ascii="宋体" w:hAnsi="宋体"/>
                <w:color w:val="auto"/>
                <w:highlight w:val="none"/>
              </w:rPr>
              <w:t>0.035%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3065" w:type="dxa"/>
            <w:tcBorders>
              <w:top w:val="single" w:color="auto" w:sz="4" w:space="0"/>
              <w:left w:val="single" w:color="auto" w:sz="4" w:space="0"/>
              <w:bottom w:val="single" w:color="auto" w:sz="4" w:space="0"/>
              <w:right w:val="single" w:color="auto" w:sz="4" w:space="0"/>
            </w:tcBorders>
          </w:tcPr>
          <w:p>
            <w:pPr>
              <w:jc w:val="center"/>
              <w:rPr>
                <w:rFonts w:ascii="宋体" w:hAnsi="宋体"/>
                <w:color w:val="auto"/>
                <w:highlight w:val="none"/>
              </w:rPr>
            </w:pPr>
            <w:r>
              <w:rPr>
                <w:rFonts w:ascii="宋体" w:hAnsi="宋体"/>
                <w:color w:val="auto"/>
                <w:highlight w:val="none"/>
              </w:rPr>
              <w:t>100000-500000</w:t>
            </w:r>
          </w:p>
        </w:tc>
        <w:tc>
          <w:tcPr>
            <w:tcW w:w="2037" w:type="dxa"/>
            <w:tcBorders>
              <w:top w:val="single" w:color="auto" w:sz="4" w:space="0"/>
              <w:left w:val="single" w:color="auto" w:sz="4" w:space="0"/>
              <w:bottom w:val="single" w:color="auto" w:sz="4" w:space="0"/>
              <w:right w:val="single" w:color="auto" w:sz="4" w:space="0"/>
            </w:tcBorders>
          </w:tcPr>
          <w:p>
            <w:pPr>
              <w:jc w:val="center"/>
              <w:rPr>
                <w:rFonts w:ascii="宋体" w:hAnsi="宋体"/>
                <w:color w:val="auto"/>
                <w:highlight w:val="none"/>
              </w:rPr>
            </w:pPr>
            <w:r>
              <w:rPr>
                <w:rFonts w:ascii="宋体" w:hAnsi="宋体"/>
                <w:color w:val="auto"/>
                <w:highlight w:val="none"/>
              </w:rPr>
              <w:t>0.008%</w:t>
            </w:r>
          </w:p>
        </w:tc>
        <w:tc>
          <w:tcPr>
            <w:tcW w:w="1952" w:type="dxa"/>
            <w:tcBorders>
              <w:top w:val="single" w:color="auto" w:sz="4" w:space="0"/>
              <w:left w:val="single" w:color="auto" w:sz="4" w:space="0"/>
              <w:bottom w:val="single" w:color="auto" w:sz="4" w:space="0"/>
              <w:right w:val="single" w:color="auto" w:sz="4" w:space="0"/>
            </w:tcBorders>
          </w:tcPr>
          <w:p>
            <w:pPr>
              <w:jc w:val="center"/>
              <w:rPr>
                <w:rFonts w:ascii="宋体" w:hAnsi="宋体"/>
                <w:color w:val="auto"/>
                <w:highlight w:val="none"/>
              </w:rPr>
            </w:pPr>
            <w:r>
              <w:rPr>
                <w:rFonts w:ascii="宋体" w:hAnsi="宋体"/>
                <w:color w:val="auto"/>
                <w:highlight w:val="none"/>
              </w:rPr>
              <w:t>0.008%</w:t>
            </w:r>
          </w:p>
        </w:tc>
        <w:tc>
          <w:tcPr>
            <w:tcW w:w="2612" w:type="dxa"/>
            <w:tcBorders>
              <w:top w:val="single" w:color="auto" w:sz="4" w:space="0"/>
              <w:left w:val="single" w:color="auto" w:sz="4" w:space="0"/>
              <w:bottom w:val="single" w:color="auto" w:sz="4" w:space="0"/>
              <w:right w:val="single" w:color="auto" w:sz="4" w:space="0"/>
            </w:tcBorders>
          </w:tcPr>
          <w:p>
            <w:pPr>
              <w:jc w:val="center"/>
              <w:rPr>
                <w:rFonts w:ascii="宋体" w:hAnsi="宋体"/>
                <w:color w:val="auto"/>
                <w:highlight w:val="none"/>
              </w:rPr>
            </w:pPr>
            <w:r>
              <w:rPr>
                <w:rFonts w:ascii="宋体" w:hAnsi="宋体"/>
                <w:color w:val="auto"/>
                <w:highlight w:val="none"/>
              </w:rPr>
              <w:t>0.008%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3065" w:type="dxa"/>
            <w:tcBorders>
              <w:top w:val="single" w:color="auto" w:sz="4" w:space="0"/>
              <w:left w:val="single" w:color="auto" w:sz="4" w:space="0"/>
              <w:bottom w:val="single" w:color="auto" w:sz="4" w:space="0"/>
              <w:right w:val="single" w:color="auto" w:sz="4" w:space="0"/>
            </w:tcBorders>
          </w:tcPr>
          <w:p>
            <w:pPr>
              <w:jc w:val="center"/>
              <w:rPr>
                <w:rFonts w:ascii="宋体" w:hAnsi="宋体"/>
                <w:color w:val="auto"/>
                <w:highlight w:val="none"/>
              </w:rPr>
            </w:pPr>
            <w:r>
              <w:rPr>
                <w:rFonts w:ascii="宋体" w:hAnsi="宋体"/>
                <w:color w:val="auto"/>
                <w:highlight w:val="none"/>
              </w:rPr>
              <w:t>500000-1000000</w:t>
            </w:r>
          </w:p>
        </w:tc>
        <w:tc>
          <w:tcPr>
            <w:tcW w:w="2037" w:type="dxa"/>
            <w:tcBorders>
              <w:top w:val="single" w:color="auto" w:sz="4" w:space="0"/>
              <w:left w:val="single" w:color="auto" w:sz="4" w:space="0"/>
              <w:bottom w:val="single" w:color="auto" w:sz="4" w:space="0"/>
              <w:right w:val="single" w:color="auto" w:sz="4" w:space="0"/>
            </w:tcBorders>
          </w:tcPr>
          <w:p>
            <w:pPr>
              <w:jc w:val="center"/>
              <w:rPr>
                <w:rFonts w:ascii="宋体" w:hAnsi="宋体"/>
                <w:color w:val="auto"/>
                <w:highlight w:val="none"/>
              </w:rPr>
            </w:pPr>
            <w:r>
              <w:rPr>
                <w:rFonts w:ascii="宋体" w:hAnsi="宋体"/>
                <w:color w:val="auto"/>
                <w:highlight w:val="none"/>
              </w:rPr>
              <w:t>0.006%</w:t>
            </w:r>
          </w:p>
        </w:tc>
        <w:tc>
          <w:tcPr>
            <w:tcW w:w="1952" w:type="dxa"/>
            <w:tcBorders>
              <w:top w:val="single" w:color="auto" w:sz="4" w:space="0"/>
              <w:left w:val="single" w:color="auto" w:sz="4" w:space="0"/>
              <w:bottom w:val="single" w:color="auto" w:sz="4" w:space="0"/>
              <w:right w:val="single" w:color="auto" w:sz="4" w:space="0"/>
            </w:tcBorders>
          </w:tcPr>
          <w:p>
            <w:pPr>
              <w:jc w:val="center"/>
              <w:rPr>
                <w:rFonts w:ascii="宋体" w:hAnsi="宋体"/>
                <w:color w:val="auto"/>
                <w:highlight w:val="none"/>
              </w:rPr>
            </w:pPr>
            <w:r>
              <w:rPr>
                <w:rFonts w:ascii="宋体" w:hAnsi="宋体"/>
                <w:color w:val="auto"/>
                <w:highlight w:val="none"/>
              </w:rPr>
              <w:t>0.006%</w:t>
            </w:r>
          </w:p>
        </w:tc>
        <w:tc>
          <w:tcPr>
            <w:tcW w:w="2612" w:type="dxa"/>
            <w:tcBorders>
              <w:top w:val="single" w:color="auto" w:sz="4" w:space="0"/>
              <w:left w:val="single" w:color="auto" w:sz="4" w:space="0"/>
              <w:bottom w:val="single" w:color="auto" w:sz="4" w:space="0"/>
              <w:right w:val="single" w:color="auto" w:sz="4" w:space="0"/>
            </w:tcBorders>
          </w:tcPr>
          <w:p>
            <w:pPr>
              <w:jc w:val="center"/>
              <w:rPr>
                <w:rFonts w:ascii="宋体" w:hAnsi="宋体"/>
                <w:color w:val="auto"/>
                <w:highlight w:val="none"/>
              </w:rPr>
            </w:pPr>
            <w:r>
              <w:rPr>
                <w:rFonts w:ascii="宋体" w:hAnsi="宋体"/>
                <w:color w:val="auto"/>
                <w:highlight w:val="none"/>
              </w:rPr>
              <w:t>0.006%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3065" w:type="dxa"/>
            <w:tcBorders>
              <w:top w:val="single" w:color="auto" w:sz="4" w:space="0"/>
              <w:left w:val="single" w:color="auto" w:sz="4" w:space="0"/>
              <w:bottom w:val="single" w:color="auto" w:sz="4" w:space="0"/>
              <w:right w:val="single" w:color="auto" w:sz="4" w:space="0"/>
            </w:tcBorders>
          </w:tcPr>
          <w:p>
            <w:pPr>
              <w:jc w:val="center"/>
              <w:rPr>
                <w:rFonts w:ascii="宋体" w:hAnsi="宋体"/>
                <w:color w:val="auto"/>
                <w:highlight w:val="none"/>
              </w:rPr>
            </w:pPr>
            <w:r>
              <w:rPr>
                <w:rFonts w:ascii="宋体" w:hAnsi="宋体"/>
                <w:color w:val="auto"/>
                <w:highlight w:val="none"/>
              </w:rPr>
              <w:t>1000000</w:t>
            </w:r>
            <w:r>
              <w:rPr>
                <w:rFonts w:hint="eastAsia" w:ascii="宋体" w:hAnsi="宋体" w:cs="宋体"/>
                <w:color w:val="auto"/>
                <w:highlight w:val="none"/>
              </w:rPr>
              <w:t>以上</w:t>
            </w:r>
          </w:p>
        </w:tc>
        <w:tc>
          <w:tcPr>
            <w:tcW w:w="2037" w:type="dxa"/>
            <w:tcBorders>
              <w:top w:val="single" w:color="auto" w:sz="4" w:space="0"/>
              <w:left w:val="single" w:color="auto" w:sz="4" w:space="0"/>
              <w:bottom w:val="single" w:color="auto" w:sz="4" w:space="0"/>
              <w:right w:val="single" w:color="auto" w:sz="4" w:space="0"/>
            </w:tcBorders>
          </w:tcPr>
          <w:p>
            <w:pPr>
              <w:jc w:val="center"/>
              <w:rPr>
                <w:rFonts w:ascii="宋体" w:hAnsi="宋体"/>
                <w:color w:val="auto"/>
                <w:highlight w:val="none"/>
              </w:rPr>
            </w:pPr>
            <w:r>
              <w:rPr>
                <w:rFonts w:ascii="宋体" w:hAnsi="宋体"/>
                <w:color w:val="auto"/>
                <w:highlight w:val="none"/>
              </w:rPr>
              <w:t>0.004%</w:t>
            </w:r>
          </w:p>
        </w:tc>
        <w:tc>
          <w:tcPr>
            <w:tcW w:w="1952" w:type="dxa"/>
            <w:tcBorders>
              <w:top w:val="single" w:color="auto" w:sz="4" w:space="0"/>
              <w:left w:val="single" w:color="auto" w:sz="4" w:space="0"/>
              <w:bottom w:val="single" w:color="auto" w:sz="4" w:space="0"/>
              <w:right w:val="single" w:color="auto" w:sz="4" w:space="0"/>
            </w:tcBorders>
          </w:tcPr>
          <w:p>
            <w:pPr>
              <w:jc w:val="center"/>
              <w:rPr>
                <w:rFonts w:ascii="宋体" w:hAnsi="宋体"/>
                <w:color w:val="auto"/>
                <w:highlight w:val="none"/>
              </w:rPr>
            </w:pPr>
            <w:r>
              <w:rPr>
                <w:rFonts w:ascii="宋体" w:hAnsi="宋体"/>
                <w:color w:val="auto"/>
                <w:highlight w:val="none"/>
              </w:rPr>
              <w:t>0.004%</w:t>
            </w:r>
          </w:p>
        </w:tc>
        <w:tc>
          <w:tcPr>
            <w:tcW w:w="2612" w:type="dxa"/>
            <w:tcBorders>
              <w:top w:val="single" w:color="auto" w:sz="4" w:space="0"/>
              <w:left w:val="single" w:color="auto" w:sz="4" w:space="0"/>
              <w:bottom w:val="single" w:color="auto" w:sz="4" w:space="0"/>
              <w:right w:val="single" w:color="auto" w:sz="4" w:space="0"/>
            </w:tcBorders>
          </w:tcPr>
          <w:p>
            <w:pPr>
              <w:jc w:val="center"/>
              <w:rPr>
                <w:rFonts w:ascii="宋体" w:hAnsi="宋体"/>
                <w:color w:val="auto"/>
                <w:highlight w:val="none"/>
              </w:rPr>
            </w:pPr>
            <w:r>
              <w:rPr>
                <w:rFonts w:ascii="宋体" w:hAnsi="宋体"/>
                <w:color w:val="auto"/>
                <w:highlight w:val="none"/>
              </w:rPr>
              <w:t>0.004%</w:t>
            </w:r>
          </w:p>
        </w:tc>
      </w:tr>
    </w:tbl>
    <w:p>
      <w:pPr>
        <w:adjustRightInd w:val="0"/>
        <w:snapToGrid w:val="0"/>
        <w:spacing w:line="380" w:lineRule="exact"/>
        <w:ind w:left="105" w:hanging="105" w:hangingChars="50"/>
        <w:jc w:val="left"/>
        <w:rPr>
          <w:rFonts w:ascii="宋体" w:hAnsi="宋体"/>
          <w:color w:val="auto"/>
          <w:highlight w:val="none"/>
        </w:rPr>
      </w:pPr>
      <w:r>
        <w:rPr>
          <w:rFonts w:hint="eastAsia" w:ascii="宋体" w:hAnsi="宋体" w:cs="宋体"/>
          <w:color w:val="auto"/>
          <w:highlight w:val="none"/>
        </w:rPr>
        <w:t>按分档累进结算，并按招标文件的约定调整投标基准价</w:t>
      </w:r>
    </w:p>
    <w:p>
      <w:pPr>
        <w:jc w:val="left"/>
        <w:rPr>
          <w:rFonts w:ascii="宋体" w:hAnsi="宋体" w:cs="宋体"/>
          <w:color w:val="auto"/>
          <w:highlight w:val="none"/>
        </w:rPr>
      </w:pPr>
    </w:p>
    <w:p>
      <w:pPr>
        <w:jc w:val="left"/>
        <w:rPr>
          <w:rFonts w:ascii="宋体" w:hAnsi="宋体" w:cs="宋体"/>
          <w:color w:val="auto"/>
          <w:highlight w:val="none"/>
        </w:rPr>
      </w:pPr>
    </w:p>
    <w:p>
      <w:pPr>
        <w:jc w:val="left"/>
        <w:rPr>
          <w:rFonts w:ascii="宋体" w:hAnsi="宋体" w:cs="宋体"/>
          <w:color w:val="auto"/>
          <w:highlight w:val="none"/>
        </w:rPr>
      </w:pPr>
    </w:p>
    <w:p>
      <w:pPr>
        <w:jc w:val="left"/>
        <w:rPr>
          <w:rFonts w:ascii="宋体" w:hAnsi="宋体" w:cs="宋体"/>
          <w:color w:val="auto"/>
          <w:highlight w:val="none"/>
        </w:rPr>
      </w:pPr>
    </w:p>
    <w:p>
      <w:pPr>
        <w:jc w:val="left"/>
        <w:rPr>
          <w:rFonts w:ascii="宋体" w:hAnsi="宋体" w:cs="宋体"/>
          <w:color w:val="auto"/>
          <w:highlight w:val="none"/>
        </w:rPr>
      </w:pPr>
    </w:p>
    <w:p>
      <w:pPr>
        <w:rPr>
          <w:rFonts w:ascii="宋体" w:hAnsi="宋体" w:cs="宋体"/>
          <w:color w:val="auto"/>
          <w:highlight w:val="none"/>
        </w:rPr>
      </w:pPr>
      <w:r>
        <w:rPr>
          <w:rFonts w:ascii="宋体" w:hAnsi="宋体" w:cs="宋体"/>
          <w:color w:val="auto"/>
          <w:highlight w:val="none"/>
        </w:rPr>
        <w:br w:type="page"/>
      </w:r>
    </w:p>
    <w:p>
      <w:pPr>
        <w:jc w:val="left"/>
        <w:rPr>
          <w:rFonts w:ascii="宋体" w:hAnsi="宋体" w:cs="宋体"/>
          <w:color w:val="auto"/>
          <w:highlight w:val="none"/>
        </w:rPr>
      </w:pPr>
      <w:r>
        <w:rPr>
          <w:rFonts w:ascii="宋体" w:hAnsi="宋体" w:cs="宋体"/>
          <w:color w:val="auto"/>
          <w:highlight w:val="none"/>
        </w:rPr>
        <w:t>3.5.2</w:t>
      </w:r>
      <w:r>
        <w:rPr>
          <w:rFonts w:hint="eastAsia" w:ascii="宋体" w:hAnsi="宋体" w:cs="宋体"/>
          <w:color w:val="auto"/>
          <w:highlight w:val="none"/>
        </w:rPr>
        <w:t>造价咨询项目及收费费率，按浙价服[2009]84 号文件。</w:t>
      </w:r>
    </w:p>
    <w:p>
      <w:pPr>
        <w:jc w:val="right"/>
        <w:rPr>
          <w:rFonts w:ascii="宋体" w:hAnsi="宋体"/>
          <w:color w:val="auto"/>
          <w:highlight w:val="none"/>
        </w:rPr>
      </w:pPr>
      <w:r>
        <w:rPr>
          <w:rFonts w:hint="eastAsia" w:ascii="宋体" w:hAnsi="宋体" w:cs="宋体"/>
          <w:color w:val="auto"/>
          <w:highlight w:val="none"/>
        </w:rPr>
        <w:t>费率：‰</w:t>
      </w:r>
    </w:p>
    <w:tbl>
      <w:tblPr>
        <w:tblStyle w:val="9"/>
        <w:tblW w:w="9680" w:type="dxa"/>
        <w:tblInd w:w="15" w:type="dxa"/>
        <w:tblLayout w:type="fixed"/>
        <w:tblCellMar>
          <w:top w:w="0" w:type="dxa"/>
          <w:left w:w="0" w:type="dxa"/>
          <w:bottom w:w="0" w:type="dxa"/>
          <w:right w:w="0" w:type="dxa"/>
        </w:tblCellMar>
      </w:tblPr>
      <w:tblGrid>
        <w:gridCol w:w="449"/>
        <w:gridCol w:w="575"/>
        <w:gridCol w:w="1297"/>
        <w:gridCol w:w="968"/>
        <w:gridCol w:w="826"/>
        <w:gridCol w:w="890"/>
        <w:gridCol w:w="955"/>
        <w:gridCol w:w="1000"/>
        <w:gridCol w:w="1000"/>
        <w:gridCol w:w="930"/>
        <w:gridCol w:w="790"/>
      </w:tblGrid>
      <w:tr>
        <w:tblPrEx>
          <w:tblCellMar>
            <w:top w:w="0" w:type="dxa"/>
            <w:left w:w="0" w:type="dxa"/>
            <w:bottom w:w="0" w:type="dxa"/>
            <w:right w:w="0" w:type="dxa"/>
          </w:tblCellMar>
        </w:tblPrEx>
        <w:trPr>
          <w:trHeight w:val="437" w:hRule="atLeast"/>
        </w:trPr>
        <w:tc>
          <w:tcPr>
            <w:tcW w:w="449" w:type="dxa"/>
            <w:vMerge w:val="restart"/>
            <w:tcBorders>
              <w:top w:val="single" w:color="auto" w:sz="12" w:space="0"/>
              <w:left w:val="single" w:color="auto" w:sz="12" w:space="0"/>
              <w:bottom w:val="single" w:color="auto" w:sz="4" w:space="0"/>
              <w:right w:val="single" w:color="auto" w:sz="4" w:space="0"/>
            </w:tcBorders>
            <w:vAlign w:val="center"/>
          </w:tcPr>
          <w:p>
            <w:pPr>
              <w:jc w:val="center"/>
              <w:rPr>
                <w:rFonts w:ascii="宋体" w:hAnsi="宋体"/>
                <w:color w:val="auto"/>
                <w:highlight w:val="none"/>
              </w:rPr>
            </w:pPr>
            <w:r>
              <w:rPr>
                <w:rFonts w:hint="eastAsia" w:ascii="宋体" w:hAnsi="宋体" w:cs="宋体"/>
                <w:color w:val="auto"/>
                <w:highlight w:val="none"/>
              </w:rPr>
              <w:t>序号</w:t>
            </w:r>
          </w:p>
        </w:tc>
        <w:tc>
          <w:tcPr>
            <w:tcW w:w="1872" w:type="dxa"/>
            <w:gridSpan w:val="2"/>
            <w:vMerge w:val="restart"/>
            <w:tcBorders>
              <w:top w:val="single" w:color="auto" w:sz="12" w:space="0"/>
              <w:left w:val="single" w:color="auto" w:sz="4" w:space="0"/>
              <w:bottom w:val="single" w:color="auto" w:sz="4" w:space="0"/>
              <w:right w:val="single" w:color="auto" w:sz="4" w:space="0"/>
            </w:tcBorders>
            <w:vAlign w:val="center"/>
          </w:tcPr>
          <w:p>
            <w:pPr>
              <w:jc w:val="center"/>
              <w:rPr>
                <w:rFonts w:ascii="宋体" w:hAnsi="宋体"/>
                <w:color w:val="auto"/>
                <w:highlight w:val="none"/>
              </w:rPr>
            </w:pPr>
            <w:r>
              <w:rPr>
                <w:rFonts w:hint="eastAsia" w:ascii="宋体" w:hAnsi="宋体" w:cs="宋体"/>
                <w:color w:val="auto"/>
                <w:highlight w:val="none"/>
              </w:rPr>
              <w:t>咨询项目</w:t>
            </w:r>
          </w:p>
        </w:tc>
        <w:tc>
          <w:tcPr>
            <w:tcW w:w="968" w:type="dxa"/>
            <w:vMerge w:val="restart"/>
            <w:tcBorders>
              <w:top w:val="single" w:color="auto" w:sz="12" w:space="0"/>
              <w:left w:val="single" w:color="auto" w:sz="4" w:space="0"/>
              <w:bottom w:val="single" w:color="auto" w:sz="4" w:space="0"/>
              <w:right w:val="single" w:color="auto" w:sz="4" w:space="0"/>
            </w:tcBorders>
            <w:vAlign w:val="center"/>
          </w:tcPr>
          <w:p>
            <w:pPr>
              <w:jc w:val="center"/>
              <w:rPr>
                <w:rFonts w:ascii="宋体" w:hAnsi="宋体"/>
                <w:color w:val="auto"/>
                <w:highlight w:val="none"/>
              </w:rPr>
            </w:pPr>
            <w:r>
              <w:rPr>
                <w:rFonts w:hint="eastAsia" w:ascii="宋体" w:hAnsi="宋体" w:cs="宋体"/>
                <w:color w:val="auto"/>
                <w:highlight w:val="none"/>
              </w:rPr>
              <w:t>收费基数</w:t>
            </w:r>
          </w:p>
        </w:tc>
        <w:tc>
          <w:tcPr>
            <w:tcW w:w="6391" w:type="dxa"/>
            <w:gridSpan w:val="7"/>
            <w:tcBorders>
              <w:top w:val="single" w:color="auto" w:sz="12" w:space="0"/>
              <w:left w:val="nil"/>
              <w:bottom w:val="single" w:color="auto" w:sz="4" w:space="0"/>
              <w:right w:val="single" w:color="auto" w:sz="12" w:space="0"/>
            </w:tcBorders>
            <w:vAlign w:val="center"/>
          </w:tcPr>
          <w:p>
            <w:pPr>
              <w:jc w:val="center"/>
              <w:rPr>
                <w:rFonts w:ascii="宋体" w:hAnsi="宋体"/>
                <w:color w:val="auto"/>
                <w:highlight w:val="none"/>
              </w:rPr>
            </w:pPr>
            <w:r>
              <w:rPr>
                <w:rFonts w:hint="eastAsia" w:ascii="宋体" w:hAnsi="宋体" w:cs="宋体"/>
                <w:color w:val="auto"/>
                <w:highlight w:val="none"/>
              </w:rPr>
              <w:t>分档累进计费标准</w:t>
            </w:r>
          </w:p>
        </w:tc>
      </w:tr>
      <w:tr>
        <w:tblPrEx>
          <w:tblCellMar>
            <w:top w:w="0" w:type="dxa"/>
            <w:left w:w="0" w:type="dxa"/>
            <w:bottom w:w="0" w:type="dxa"/>
            <w:right w:w="0" w:type="dxa"/>
          </w:tblCellMar>
        </w:tblPrEx>
        <w:trPr>
          <w:trHeight w:val="619" w:hRule="atLeast"/>
        </w:trPr>
        <w:tc>
          <w:tcPr>
            <w:tcW w:w="449" w:type="dxa"/>
            <w:vMerge w:val="continue"/>
            <w:tcBorders>
              <w:top w:val="single" w:color="auto" w:sz="4" w:space="0"/>
              <w:left w:val="single" w:color="auto" w:sz="12" w:space="0"/>
              <w:bottom w:val="single" w:color="auto" w:sz="4" w:space="0"/>
              <w:right w:val="single" w:color="auto" w:sz="4" w:space="0"/>
            </w:tcBorders>
            <w:vAlign w:val="center"/>
          </w:tcPr>
          <w:p>
            <w:pPr>
              <w:jc w:val="center"/>
              <w:rPr>
                <w:rFonts w:ascii="宋体" w:hAnsi="宋体"/>
                <w:color w:val="auto"/>
                <w:highlight w:val="none"/>
              </w:rPr>
            </w:pPr>
          </w:p>
        </w:tc>
        <w:tc>
          <w:tcPr>
            <w:tcW w:w="1872" w:type="dxa"/>
            <w:gridSpan w:val="2"/>
            <w:vMerge w:val="continue"/>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auto"/>
                <w:highlight w:val="none"/>
              </w:rPr>
            </w:pPr>
          </w:p>
        </w:tc>
        <w:tc>
          <w:tcPr>
            <w:tcW w:w="968" w:type="dxa"/>
            <w:vMerge w:val="continue"/>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auto"/>
                <w:highlight w:val="none"/>
              </w:rPr>
            </w:pPr>
          </w:p>
        </w:tc>
        <w:tc>
          <w:tcPr>
            <w:tcW w:w="826" w:type="dxa"/>
            <w:tcBorders>
              <w:top w:val="nil"/>
              <w:left w:val="nil"/>
              <w:bottom w:val="single" w:color="auto" w:sz="4"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100</w:t>
            </w:r>
            <w:r>
              <w:rPr>
                <w:rFonts w:hint="eastAsia" w:ascii="宋体" w:hAnsi="宋体" w:cs="宋体"/>
                <w:color w:val="auto"/>
                <w:highlight w:val="none"/>
              </w:rPr>
              <w:t>万元以内</w:t>
            </w:r>
          </w:p>
        </w:tc>
        <w:tc>
          <w:tcPr>
            <w:tcW w:w="890" w:type="dxa"/>
            <w:tcBorders>
              <w:top w:val="nil"/>
              <w:left w:val="nil"/>
              <w:bottom w:val="single" w:color="auto" w:sz="4"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101-500</w:t>
            </w:r>
            <w:r>
              <w:rPr>
                <w:rFonts w:hint="eastAsia" w:ascii="宋体" w:hAnsi="宋体" w:cs="宋体"/>
                <w:color w:val="auto"/>
                <w:highlight w:val="none"/>
              </w:rPr>
              <w:t>万元</w:t>
            </w:r>
          </w:p>
        </w:tc>
        <w:tc>
          <w:tcPr>
            <w:tcW w:w="955" w:type="dxa"/>
            <w:tcBorders>
              <w:top w:val="nil"/>
              <w:left w:val="nil"/>
              <w:bottom w:val="single" w:color="auto" w:sz="4"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501—1000</w:t>
            </w:r>
            <w:r>
              <w:rPr>
                <w:rFonts w:hint="eastAsia" w:ascii="宋体" w:hAnsi="宋体" w:cs="宋体"/>
                <w:color w:val="auto"/>
                <w:highlight w:val="none"/>
              </w:rPr>
              <w:t>万元</w:t>
            </w:r>
          </w:p>
        </w:tc>
        <w:tc>
          <w:tcPr>
            <w:tcW w:w="1000" w:type="dxa"/>
            <w:tcBorders>
              <w:top w:val="nil"/>
              <w:left w:val="nil"/>
              <w:bottom w:val="single" w:color="auto" w:sz="4" w:space="0"/>
              <w:right w:val="single" w:color="auto" w:sz="4" w:space="0"/>
            </w:tcBorders>
            <w:vAlign w:val="center"/>
          </w:tcPr>
          <w:p>
            <w:pPr>
              <w:jc w:val="center"/>
              <w:rPr>
                <w:rFonts w:ascii="宋体" w:hAnsi="宋体"/>
                <w:color w:val="auto"/>
                <w:spacing w:val="-6"/>
                <w:highlight w:val="none"/>
              </w:rPr>
            </w:pPr>
            <w:r>
              <w:rPr>
                <w:rFonts w:ascii="宋体" w:hAnsi="宋体" w:cs="宋体"/>
                <w:color w:val="auto"/>
                <w:spacing w:val="-6"/>
                <w:highlight w:val="none"/>
              </w:rPr>
              <w:t>1001—2000</w:t>
            </w:r>
            <w:r>
              <w:rPr>
                <w:rFonts w:hint="eastAsia" w:ascii="宋体" w:hAnsi="宋体" w:cs="宋体"/>
                <w:color w:val="auto"/>
                <w:spacing w:val="-6"/>
                <w:highlight w:val="none"/>
              </w:rPr>
              <w:t>万元</w:t>
            </w:r>
          </w:p>
        </w:tc>
        <w:tc>
          <w:tcPr>
            <w:tcW w:w="1000" w:type="dxa"/>
            <w:tcBorders>
              <w:top w:val="nil"/>
              <w:left w:val="nil"/>
              <w:bottom w:val="single" w:color="auto" w:sz="4" w:space="0"/>
              <w:right w:val="single" w:color="auto" w:sz="4" w:space="0"/>
            </w:tcBorders>
            <w:vAlign w:val="center"/>
          </w:tcPr>
          <w:p>
            <w:pPr>
              <w:jc w:val="center"/>
              <w:rPr>
                <w:rFonts w:ascii="宋体" w:hAnsi="宋体"/>
                <w:color w:val="auto"/>
                <w:spacing w:val="-6"/>
                <w:highlight w:val="none"/>
              </w:rPr>
            </w:pPr>
            <w:r>
              <w:rPr>
                <w:rFonts w:ascii="宋体" w:hAnsi="宋体" w:cs="宋体"/>
                <w:color w:val="auto"/>
                <w:spacing w:val="-6"/>
                <w:highlight w:val="none"/>
              </w:rPr>
              <w:t>2001—5000</w:t>
            </w:r>
            <w:r>
              <w:rPr>
                <w:rFonts w:hint="eastAsia" w:ascii="宋体" w:hAnsi="宋体" w:cs="宋体"/>
                <w:color w:val="auto"/>
                <w:spacing w:val="-6"/>
                <w:highlight w:val="none"/>
              </w:rPr>
              <w:t>万元</w:t>
            </w:r>
          </w:p>
        </w:tc>
        <w:tc>
          <w:tcPr>
            <w:tcW w:w="930" w:type="dxa"/>
            <w:tcBorders>
              <w:top w:val="nil"/>
              <w:left w:val="nil"/>
              <w:bottom w:val="single" w:color="auto" w:sz="4" w:space="0"/>
              <w:right w:val="single" w:color="auto" w:sz="4" w:space="0"/>
            </w:tcBorders>
            <w:vAlign w:val="center"/>
          </w:tcPr>
          <w:p>
            <w:pPr>
              <w:jc w:val="center"/>
              <w:rPr>
                <w:rFonts w:ascii="宋体" w:hAnsi="宋体"/>
                <w:color w:val="auto"/>
                <w:spacing w:val="-6"/>
                <w:highlight w:val="none"/>
              </w:rPr>
            </w:pPr>
            <w:r>
              <w:rPr>
                <w:rFonts w:ascii="宋体" w:hAnsi="宋体" w:cs="宋体"/>
                <w:color w:val="auto"/>
                <w:spacing w:val="-6"/>
                <w:highlight w:val="none"/>
              </w:rPr>
              <w:t>5001-</w:t>
            </w:r>
          </w:p>
          <w:p>
            <w:pPr>
              <w:jc w:val="center"/>
              <w:rPr>
                <w:rFonts w:ascii="宋体" w:hAnsi="宋体"/>
                <w:color w:val="auto"/>
                <w:spacing w:val="-6"/>
                <w:highlight w:val="none"/>
              </w:rPr>
            </w:pPr>
            <w:r>
              <w:rPr>
                <w:rFonts w:ascii="宋体" w:hAnsi="宋体" w:cs="宋体"/>
                <w:color w:val="auto"/>
                <w:spacing w:val="-6"/>
                <w:highlight w:val="none"/>
              </w:rPr>
              <w:t>10000</w:t>
            </w:r>
            <w:r>
              <w:rPr>
                <w:rFonts w:hint="eastAsia" w:ascii="宋体" w:hAnsi="宋体" w:cs="宋体"/>
                <w:color w:val="auto"/>
                <w:spacing w:val="-6"/>
                <w:highlight w:val="none"/>
              </w:rPr>
              <w:t>万元</w:t>
            </w:r>
          </w:p>
        </w:tc>
        <w:tc>
          <w:tcPr>
            <w:tcW w:w="790" w:type="dxa"/>
            <w:tcBorders>
              <w:top w:val="nil"/>
              <w:left w:val="nil"/>
              <w:bottom w:val="single" w:color="auto" w:sz="4" w:space="0"/>
              <w:right w:val="single" w:color="auto" w:sz="12" w:space="0"/>
            </w:tcBorders>
            <w:vAlign w:val="center"/>
          </w:tcPr>
          <w:p>
            <w:pPr>
              <w:jc w:val="center"/>
              <w:rPr>
                <w:rFonts w:ascii="宋体" w:hAnsi="宋体"/>
                <w:color w:val="auto"/>
                <w:highlight w:val="none"/>
              </w:rPr>
            </w:pPr>
            <w:r>
              <w:rPr>
                <w:rFonts w:ascii="宋体" w:hAnsi="宋体" w:cs="宋体"/>
                <w:color w:val="auto"/>
                <w:highlight w:val="none"/>
              </w:rPr>
              <w:t>10000</w:t>
            </w:r>
            <w:r>
              <w:rPr>
                <w:rFonts w:hint="eastAsia" w:ascii="宋体" w:hAnsi="宋体" w:cs="宋体"/>
                <w:color w:val="auto"/>
                <w:highlight w:val="none"/>
              </w:rPr>
              <w:t>万元以上</w:t>
            </w:r>
          </w:p>
        </w:tc>
      </w:tr>
      <w:tr>
        <w:tblPrEx>
          <w:tblCellMar>
            <w:top w:w="0" w:type="dxa"/>
            <w:left w:w="0" w:type="dxa"/>
            <w:bottom w:w="0" w:type="dxa"/>
            <w:right w:w="0" w:type="dxa"/>
          </w:tblCellMar>
        </w:tblPrEx>
        <w:trPr>
          <w:trHeight w:val="454" w:hRule="atLeast"/>
        </w:trPr>
        <w:tc>
          <w:tcPr>
            <w:tcW w:w="449" w:type="dxa"/>
            <w:tcBorders>
              <w:top w:val="nil"/>
              <w:left w:val="single" w:color="auto" w:sz="12" w:space="0"/>
              <w:bottom w:val="single" w:color="auto" w:sz="4"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1</w:t>
            </w:r>
          </w:p>
        </w:tc>
        <w:tc>
          <w:tcPr>
            <w:tcW w:w="1872" w:type="dxa"/>
            <w:gridSpan w:val="2"/>
            <w:tcBorders>
              <w:top w:val="single" w:color="auto" w:sz="4" w:space="0"/>
              <w:left w:val="nil"/>
              <w:bottom w:val="single" w:color="auto" w:sz="4" w:space="0"/>
              <w:right w:val="single" w:color="auto" w:sz="4" w:space="0"/>
            </w:tcBorders>
            <w:vAlign w:val="center"/>
          </w:tcPr>
          <w:p>
            <w:pPr>
              <w:jc w:val="center"/>
              <w:rPr>
                <w:rFonts w:ascii="宋体" w:hAnsi="宋体"/>
                <w:color w:val="auto"/>
                <w:highlight w:val="none"/>
              </w:rPr>
            </w:pPr>
            <w:r>
              <w:rPr>
                <w:rFonts w:hint="eastAsia" w:ascii="宋体" w:hAnsi="宋体" w:cs="宋体"/>
                <w:color w:val="auto"/>
                <w:highlight w:val="none"/>
              </w:rPr>
              <w:t>投资估算编制或审核</w:t>
            </w:r>
          </w:p>
        </w:tc>
        <w:tc>
          <w:tcPr>
            <w:tcW w:w="968" w:type="dxa"/>
            <w:tcBorders>
              <w:top w:val="nil"/>
              <w:left w:val="nil"/>
              <w:bottom w:val="single" w:color="auto" w:sz="4" w:space="0"/>
              <w:right w:val="single" w:color="auto" w:sz="4" w:space="0"/>
            </w:tcBorders>
            <w:vAlign w:val="center"/>
          </w:tcPr>
          <w:p>
            <w:pPr>
              <w:jc w:val="center"/>
              <w:rPr>
                <w:rFonts w:ascii="宋体" w:hAnsi="宋体"/>
                <w:color w:val="auto"/>
                <w:highlight w:val="none"/>
              </w:rPr>
            </w:pPr>
            <w:r>
              <w:rPr>
                <w:rFonts w:hint="eastAsia" w:ascii="宋体" w:hAnsi="宋体" w:cs="宋体"/>
                <w:color w:val="auto"/>
                <w:highlight w:val="none"/>
              </w:rPr>
              <w:t>估算价</w:t>
            </w:r>
          </w:p>
        </w:tc>
        <w:tc>
          <w:tcPr>
            <w:tcW w:w="826" w:type="dxa"/>
            <w:tcBorders>
              <w:top w:val="nil"/>
              <w:left w:val="nil"/>
              <w:bottom w:val="single" w:color="auto" w:sz="4"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1.3</w:t>
            </w:r>
          </w:p>
        </w:tc>
        <w:tc>
          <w:tcPr>
            <w:tcW w:w="890" w:type="dxa"/>
            <w:tcBorders>
              <w:top w:val="nil"/>
              <w:left w:val="nil"/>
              <w:bottom w:val="single" w:color="auto" w:sz="4"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1.1</w:t>
            </w:r>
          </w:p>
        </w:tc>
        <w:tc>
          <w:tcPr>
            <w:tcW w:w="955" w:type="dxa"/>
            <w:tcBorders>
              <w:top w:val="nil"/>
              <w:left w:val="nil"/>
              <w:bottom w:val="single" w:color="auto" w:sz="4"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0.9</w:t>
            </w:r>
          </w:p>
        </w:tc>
        <w:tc>
          <w:tcPr>
            <w:tcW w:w="1000" w:type="dxa"/>
            <w:tcBorders>
              <w:top w:val="nil"/>
              <w:left w:val="nil"/>
              <w:bottom w:val="single" w:color="auto" w:sz="4"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0.7</w:t>
            </w:r>
          </w:p>
        </w:tc>
        <w:tc>
          <w:tcPr>
            <w:tcW w:w="1000" w:type="dxa"/>
            <w:tcBorders>
              <w:top w:val="nil"/>
              <w:left w:val="nil"/>
              <w:bottom w:val="single" w:color="auto" w:sz="4"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0.6</w:t>
            </w:r>
          </w:p>
        </w:tc>
        <w:tc>
          <w:tcPr>
            <w:tcW w:w="930" w:type="dxa"/>
            <w:tcBorders>
              <w:top w:val="single" w:color="auto" w:sz="4" w:space="0"/>
              <w:left w:val="nil"/>
              <w:bottom w:val="single" w:color="auto" w:sz="4"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0.5</w:t>
            </w:r>
          </w:p>
        </w:tc>
        <w:tc>
          <w:tcPr>
            <w:tcW w:w="790" w:type="dxa"/>
            <w:tcBorders>
              <w:top w:val="single" w:color="auto" w:sz="4" w:space="0"/>
              <w:left w:val="nil"/>
              <w:bottom w:val="single" w:color="auto" w:sz="4" w:space="0"/>
              <w:right w:val="single" w:color="auto" w:sz="12" w:space="0"/>
            </w:tcBorders>
            <w:vAlign w:val="center"/>
          </w:tcPr>
          <w:p>
            <w:pPr>
              <w:jc w:val="center"/>
              <w:rPr>
                <w:rFonts w:ascii="宋体" w:hAnsi="宋体"/>
                <w:color w:val="auto"/>
                <w:highlight w:val="none"/>
              </w:rPr>
            </w:pPr>
            <w:r>
              <w:rPr>
                <w:rFonts w:ascii="宋体" w:hAnsi="宋体" w:cs="宋体"/>
                <w:color w:val="auto"/>
                <w:highlight w:val="none"/>
              </w:rPr>
              <w:t>0.4</w:t>
            </w:r>
          </w:p>
        </w:tc>
      </w:tr>
      <w:tr>
        <w:tblPrEx>
          <w:tblCellMar>
            <w:top w:w="0" w:type="dxa"/>
            <w:left w:w="0" w:type="dxa"/>
            <w:bottom w:w="0" w:type="dxa"/>
            <w:right w:w="0" w:type="dxa"/>
          </w:tblCellMar>
        </w:tblPrEx>
        <w:trPr>
          <w:trHeight w:val="454" w:hRule="atLeast"/>
        </w:trPr>
        <w:tc>
          <w:tcPr>
            <w:tcW w:w="449" w:type="dxa"/>
            <w:tcBorders>
              <w:top w:val="nil"/>
              <w:left w:val="single" w:color="auto" w:sz="12" w:space="0"/>
              <w:bottom w:val="single" w:color="auto" w:sz="4"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2</w:t>
            </w:r>
          </w:p>
        </w:tc>
        <w:tc>
          <w:tcPr>
            <w:tcW w:w="1872" w:type="dxa"/>
            <w:gridSpan w:val="2"/>
            <w:tcBorders>
              <w:top w:val="single" w:color="auto" w:sz="4" w:space="0"/>
              <w:left w:val="nil"/>
              <w:bottom w:val="single" w:color="auto" w:sz="4" w:space="0"/>
              <w:right w:val="single" w:color="auto" w:sz="4" w:space="0"/>
            </w:tcBorders>
            <w:vAlign w:val="center"/>
          </w:tcPr>
          <w:p>
            <w:pPr>
              <w:jc w:val="center"/>
              <w:rPr>
                <w:rFonts w:ascii="宋体" w:hAnsi="宋体"/>
                <w:color w:val="auto"/>
                <w:highlight w:val="none"/>
              </w:rPr>
            </w:pPr>
            <w:r>
              <w:rPr>
                <w:rFonts w:hint="eastAsia" w:ascii="宋体" w:hAnsi="宋体" w:cs="宋体"/>
                <w:color w:val="auto"/>
                <w:highlight w:val="none"/>
              </w:rPr>
              <w:t>设计概算编制或审核</w:t>
            </w:r>
          </w:p>
        </w:tc>
        <w:tc>
          <w:tcPr>
            <w:tcW w:w="968" w:type="dxa"/>
            <w:tcBorders>
              <w:top w:val="nil"/>
              <w:left w:val="nil"/>
              <w:bottom w:val="single" w:color="auto" w:sz="4" w:space="0"/>
              <w:right w:val="single" w:color="auto" w:sz="4" w:space="0"/>
            </w:tcBorders>
            <w:vAlign w:val="center"/>
          </w:tcPr>
          <w:p>
            <w:pPr>
              <w:jc w:val="center"/>
              <w:rPr>
                <w:rFonts w:ascii="宋体" w:hAnsi="宋体"/>
                <w:color w:val="auto"/>
                <w:highlight w:val="none"/>
              </w:rPr>
            </w:pPr>
            <w:r>
              <w:rPr>
                <w:rFonts w:hint="eastAsia" w:ascii="宋体" w:hAnsi="宋体" w:cs="宋体"/>
                <w:color w:val="auto"/>
                <w:highlight w:val="none"/>
              </w:rPr>
              <w:t>概算价</w:t>
            </w:r>
          </w:p>
        </w:tc>
        <w:tc>
          <w:tcPr>
            <w:tcW w:w="826" w:type="dxa"/>
            <w:tcBorders>
              <w:top w:val="nil"/>
              <w:left w:val="nil"/>
              <w:bottom w:val="single" w:color="auto" w:sz="4"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1.7</w:t>
            </w:r>
          </w:p>
        </w:tc>
        <w:tc>
          <w:tcPr>
            <w:tcW w:w="890" w:type="dxa"/>
            <w:tcBorders>
              <w:top w:val="nil"/>
              <w:left w:val="nil"/>
              <w:bottom w:val="single" w:color="auto" w:sz="4"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1.5</w:t>
            </w:r>
          </w:p>
        </w:tc>
        <w:tc>
          <w:tcPr>
            <w:tcW w:w="955" w:type="dxa"/>
            <w:tcBorders>
              <w:top w:val="nil"/>
              <w:left w:val="nil"/>
              <w:bottom w:val="single" w:color="auto" w:sz="4"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1.3</w:t>
            </w:r>
          </w:p>
        </w:tc>
        <w:tc>
          <w:tcPr>
            <w:tcW w:w="1000" w:type="dxa"/>
            <w:tcBorders>
              <w:top w:val="nil"/>
              <w:left w:val="nil"/>
              <w:bottom w:val="single" w:color="auto" w:sz="4"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1.1</w:t>
            </w:r>
          </w:p>
        </w:tc>
        <w:tc>
          <w:tcPr>
            <w:tcW w:w="1000" w:type="dxa"/>
            <w:tcBorders>
              <w:top w:val="nil"/>
              <w:left w:val="nil"/>
              <w:bottom w:val="single" w:color="auto" w:sz="4"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1.0</w:t>
            </w:r>
          </w:p>
        </w:tc>
        <w:tc>
          <w:tcPr>
            <w:tcW w:w="930" w:type="dxa"/>
            <w:tcBorders>
              <w:top w:val="single" w:color="auto" w:sz="4" w:space="0"/>
              <w:left w:val="nil"/>
              <w:bottom w:val="single" w:color="auto" w:sz="4"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0.9</w:t>
            </w:r>
          </w:p>
        </w:tc>
        <w:tc>
          <w:tcPr>
            <w:tcW w:w="790" w:type="dxa"/>
            <w:tcBorders>
              <w:top w:val="single" w:color="auto" w:sz="4" w:space="0"/>
              <w:left w:val="nil"/>
              <w:bottom w:val="single" w:color="auto" w:sz="4" w:space="0"/>
              <w:right w:val="single" w:color="auto" w:sz="12" w:space="0"/>
            </w:tcBorders>
            <w:vAlign w:val="center"/>
          </w:tcPr>
          <w:p>
            <w:pPr>
              <w:jc w:val="center"/>
              <w:rPr>
                <w:rFonts w:ascii="宋体" w:hAnsi="宋体"/>
                <w:color w:val="auto"/>
                <w:highlight w:val="none"/>
              </w:rPr>
            </w:pPr>
            <w:r>
              <w:rPr>
                <w:rFonts w:ascii="宋体" w:hAnsi="宋体" w:cs="宋体"/>
                <w:color w:val="auto"/>
                <w:highlight w:val="none"/>
              </w:rPr>
              <w:t>0.8</w:t>
            </w:r>
          </w:p>
        </w:tc>
      </w:tr>
      <w:tr>
        <w:tblPrEx>
          <w:tblCellMar>
            <w:top w:w="0" w:type="dxa"/>
            <w:left w:w="0" w:type="dxa"/>
            <w:bottom w:w="0" w:type="dxa"/>
            <w:right w:w="0" w:type="dxa"/>
          </w:tblCellMar>
        </w:tblPrEx>
        <w:trPr>
          <w:trHeight w:val="626" w:hRule="atLeast"/>
        </w:trPr>
        <w:tc>
          <w:tcPr>
            <w:tcW w:w="449" w:type="dxa"/>
            <w:tcBorders>
              <w:top w:val="nil"/>
              <w:left w:val="single" w:color="auto" w:sz="12" w:space="0"/>
              <w:bottom w:val="single" w:color="auto" w:sz="4"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3</w:t>
            </w:r>
          </w:p>
        </w:tc>
        <w:tc>
          <w:tcPr>
            <w:tcW w:w="575" w:type="dxa"/>
            <w:vMerge w:val="restart"/>
            <w:tcBorders>
              <w:top w:val="nil"/>
              <w:left w:val="single" w:color="auto" w:sz="4" w:space="0"/>
              <w:bottom w:val="single" w:color="auto" w:sz="4" w:space="0"/>
              <w:right w:val="single" w:color="auto" w:sz="4" w:space="0"/>
            </w:tcBorders>
            <w:vAlign w:val="center"/>
          </w:tcPr>
          <w:p>
            <w:pPr>
              <w:jc w:val="center"/>
              <w:rPr>
                <w:rFonts w:ascii="宋体" w:hAnsi="宋体"/>
                <w:color w:val="auto"/>
                <w:highlight w:val="none"/>
              </w:rPr>
            </w:pPr>
            <w:r>
              <w:rPr>
                <w:rFonts w:hint="eastAsia" w:ascii="宋体" w:hAnsi="宋体" w:cs="宋体"/>
                <w:color w:val="auto"/>
                <w:highlight w:val="none"/>
              </w:rPr>
              <w:t>清单</w:t>
            </w:r>
          </w:p>
          <w:p>
            <w:pPr>
              <w:jc w:val="center"/>
              <w:rPr>
                <w:rFonts w:ascii="宋体" w:hAnsi="宋体"/>
                <w:color w:val="auto"/>
                <w:highlight w:val="none"/>
              </w:rPr>
            </w:pPr>
            <w:r>
              <w:rPr>
                <w:rFonts w:hint="eastAsia" w:ascii="宋体" w:hAnsi="宋体" w:cs="宋体"/>
                <w:color w:val="auto"/>
                <w:highlight w:val="none"/>
              </w:rPr>
              <w:t>计价</w:t>
            </w:r>
          </w:p>
          <w:p>
            <w:pPr>
              <w:jc w:val="center"/>
              <w:rPr>
                <w:rFonts w:ascii="宋体" w:hAnsi="宋体"/>
                <w:color w:val="auto"/>
                <w:highlight w:val="none"/>
              </w:rPr>
            </w:pPr>
            <w:r>
              <w:rPr>
                <w:rFonts w:hint="eastAsia" w:ascii="宋体" w:hAnsi="宋体" w:cs="宋体"/>
                <w:color w:val="auto"/>
                <w:highlight w:val="none"/>
              </w:rPr>
              <w:t>法</w:t>
            </w:r>
          </w:p>
        </w:tc>
        <w:tc>
          <w:tcPr>
            <w:tcW w:w="1297" w:type="dxa"/>
            <w:tcBorders>
              <w:top w:val="nil"/>
              <w:left w:val="nil"/>
              <w:bottom w:val="single" w:color="auto" w:sz="4" w:space="0"/>
              <w:right w:val="single" w:color="auto" w:sz="4" w:space="0"/>
            </w:tcBorders>
            <w:vAlign w:val="center"/>
          </w:tcPr>
          <w:p>
            <w:pPr>
              <w:jc w:val="center"/>
              <w:rPr>
                <w:rFonts w:ascii="宋体" w:hAnsi="宋体"/>
                <w:color w:val="auto"/>
                <w:highlight w:val="none"/>
              </w:rPr>
            </w:pPr>
            <w:r>
              <w:rPr>
                <w:rFonts w:hint="eastAsia" w:ascii="宋体" w:hAnsi="宋体" w:cs="宋体"/>
                <w:color w:val="auto"/>
                <w:highlight w:val="none"/>
              </w:rPr>
              <w:t>工程量清单单独编制或审核</w:t>
            </w:r>
          </w:p>
        </w:tc>
        <w:tc>
          <w:tcPr>
            <w:tcW w:w="968" w:type="dxa"/>
            <w:tcBorders>
              <w:top w:val="nil"/>
              <w:left w:val="nil"/>
              <w:bottom w:val="single" w:color="auto" w:sz="4" w:space="0"/>
              <w:right w:val="single" w:color="auto" w:sz="4" w:space="0"/>
            </w:tcBorders>
            <w:vAlign w:val="center"/>
          </w:tcPr>
          <w:p>
            <w:pPr>
              <w:jc w:val="center"/>
              <w:rPr>
                <w:rFonts w:ascii="宋体" w:hAnsi="宋体"/>
                <w:color w:val="auto"/>
                <w:highlight w:val="none"/>
              </w:rPr>
            </w:pPr>
            <w:r>
              <w:rPr>
                <w:rFonts w:hint="eastAsia" w:ascii="宋体" w:hAnsi="宋体" w:cs="宋体"/>
                <w:color w:val="auto"/>
                <w:highlight w:val="none"/>
              </w:rPr>
              <w:t>建安工程造价</w:t>
            </w:r>
          </w:p>
        </w:tc>
        <w:tc>
          <w:tcPr>
            <w:tcW w:w="826" w:type="dxa"/>
            <w:tcBorders>
              <w:top w:val="nil"/>
              <w:left w:val="nil"/>
              <w:bottom w:val="single" w:color="auto" w:sz="4"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2.9</w:t>
            </w:r>
          </w:p>
        </w:tc>
        <w:tc>
          <w:tcPr>
            <w:tcW w:w="890" w:type="dxa"/>
            <w:tcBorders>
              <w:top w:val="nil"/>
              <w:left w:val="nil"/>
              <w:bottom w:val="single" w:color="auto" w:sz="4"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2.7</w:t>
            </w:r>
          </w:p>
        </w:tc>
        <w:tc>
          <w:tcPr>
            <w:tcW w:w="955" w:type="dxa"/>
            <w:tcBorders>
              <w:top w:val="nil"/>
              <w:left w:val="nil"/>
              <w:bottom w:val="single" w:color="auto" w:sz="4"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2.5</w:t>
            </w:r>
          </w:p>
        </w:tc>
        <w:tc>
          <w:tcPr>
            <w:tcW w:w="1000" w:type="dxa"/>
            <w:tcBorders>
              <w:top w:val="nil"/>
              <w:left w:val="nil"/>
              <w:bottom w:val="single" w:color="auto" w:sz="4"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2.3</w:t>
            </w:r>
          </w:p>
        </w:tc>
        <w:tc>
          <w:tcPr>
            <w:tcW w:w="1000" w:type="dxa"/>
            <w:tcBorders>
              <w:top w:val="nil"/>
              <w:left w:val="nil"/>
              <w:bottom w:val="single" w:color="auto" w:sz="4"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2.1</w:t>
            </w:r>
          </w:p>
        </w:tc>
        <w:tc>
          <w:tcPr>
            <w:tcW w:w="930" w:type="dxa"/>
            <w:tcBorders>
              <w:top w:val="single" w:color="auto" w:sz="4" w:space="0"/>
              <w:left w:val="nil"/>
              <w:bottom w:val="single" w:color="auto" w:sz="4"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1.9</w:t>
            </w:r>
          </w:p>
        </w:tc>
        <w:tc>
          <w:tcPr>
            <w:tcW w:w="790" w:type="dxa"/>
            <w:tcBorders>
              <w:top w:val="single" w:color="auto" w:sz="4" w:space="0"/>
              <w:left w:val="nil"/>
              <w:bottom w:val="single" w:color="auto" w:sz="4" w:space="0"/>
              <w:right w:val="single" w:color="auto" w:sz="12" w:space="0"/>
            </w:tcBorders>
            <w:vAlign w:val="center"/>
          </w:tcPr>
          <w:p>
            <w:pPr>
              <w:jc w:val="center"/>
              <w:rPr>
                <w:rFonts w:ascii="宋体" w:hAnsi="宋体"/>
                <w:color w:val="auto"/>
                <w:highlight w:val="none"/>
              </w:rPr>
            </w:pPr>
            <w:r>
              <w:rPr>
                <w:rFonts w:ascii="宋体" w:hAnsi="宋体" w:cs="宋体"/>
                <w:color w:val="auto"/>
                <w:highlight w:val="none"/>
              </w:rPr>
              <w:t>1.7</w:t>
            </w:r>
          </w:p>
        </w:tc>
      </w:tr>
      <w:tr>
        <w:tblPrEx>
          <w:tblCellMar>
            <w:top w:w="0" w:type="dxa"/>
            <w:left w:w="0" w:type="dxa"/>
            <w:bottom w:w="0" w:type="dxa"/>
            <w:right w:w="0" w:type="dxa"/>
          </w:tblCellMar>
        </w:tblPrEx>
        <w:trPr>
          <w:trHeight w:val="590" w:hRule="atLeast"/>
        </w:trPr>
        <w:tc>
          <w:tcPr>
            <w:tcW w:w="449" w:type="dxa"/>
            <w:tcBorders>
              <w:top w:val="nil"/>
              <w:left w:val="single" w:color="auto" w:sz="12" w:space="0"/>
              <w:bottom w:val="single" w:color="auto" w:sz="4"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4</w:t>
            </w:r>
          </w:p>
        </w:tc>
        <w:tc>
          <w:tcPr>
            <w:tcW w:w="575" w:type="dxa"/>
            <w:vMerge w:val="continue"/>
            <w:tcBorders>
              <w:top w:val="nil"/>
              <w:left w:val="single" w:color="auto" w:sz="4" w:space="0"/>
              <w:bottom w:val="single" w:color="auto" w:sz="4" w:space="0"/>
              <w:right w:val="single" w:color="auto" w:sz="4" w:space="0"/>
            </w:tcBorders>
            <w:vAlign w:val="center"/>
          </w:tcPr>
          <w:p>
            <w:pPr>
              <w:jc w:val="center"/>
              <w:rPr>
                <w:rFonts w:ascii="宋体" w:hAnsi="宋体"/>
                <w:color w:val="auto"/>
                <w:highlight w:val="none"/>
              </w:rPr>
            </w:pPr>
          </w:p>
        </w:tc>
        <w:tc>
          <w:tcPr>
            <w:tcW w:w="1297" w:type="dxa"/>
            <w:tcBorders>
              <w:top w:val="nil"/>
              <w:left w:val="nil"/>
              <w:bottom w:val="single" w:color="auto" w:sz="4" w:space="0"/>
              <w:right w:val="single" w:color="auto" w:sz="4" w:space="0"/>
            </w:tcBorders>
            <w:vAlign w:val="center"/>
          </w:tcPr>
          <w:p>
            <w:pPr>
              <w:jc w:val="center"/>
              <w:rPr>
                <w:rFonts w:ascii="宋体" w:hAnsi="宋体"/>
                <w:color w:val="auto"/>
                <w:highlight w:val="none"/>
              </w:rPr>
            </w:pPr>
            <w:r>
              <w:rPr>
                <w:rFonts w:hint="eastAsia" w:ascii="宋体" w:hAnsi="宋体" w:cs="宋体"/>
                <w:color w:val="auto"/>
                <w:highlight w:val="none"/>
              </w:rPr>
              <w:t>投标报价编制</w:t>
            </w:r>
          </w:p>
        </w:tc>
        <w:tc>
          <w:tcPr>
            <w:tcW w:w="968" w:type="dxa"/>
            <w:tcBorders>
              <w:top w:val="nil"/>
              <w:left w:val="nil"/>
              <w:bottom w:val="single" w:color="auto" w:sz="4" w:space="0"/>
              <w:right w:val="single" w:color="auto" w:sz="4" w:space="0"/>
            </w:tcBorders>
            <w:vAlign w:val="center"/>
          </w:tcPr>
          <w:p>
            <w:pPr>
              <w:jc w:val="center"/>
              <w:rPr>
                <w:rFonts w:ascii="宋体" w:hAnsi="宋体"/>
                <w:color w:val="auto"/>
                <w:highlight w:val="none"/>
              </w:rPr>
            </w:pPr>
            <w:r>
              <w:rPr>
                <w:rFonts w:hint="eastAsia" w:ascii="宋体" w:hAnsi="宋体" w:cs="宋体"/>
                <w:color w:val="auto"/>
                <w:highlight w:val="none"/>
              </w:rPr>
              <w:t>建安工程造价</w:t>
            </w:r>
          </w:p>
        </w:tc>
        <w:tc>
          <w:tcPr>
            <w:tcW w:w="826" w:type="dxa"/>
            <w:tcBorders>
              <w:top w:val="nil"/>
              <w:left w:val="nil"/>
              <w:bottom w:val="single" w:color="auto" w:sz="4"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1.4</w:t>
            </w:r>
          </w:p>
        </w:tc>
        <w:tc>
          <w:tcPr>
            <w:tcW w:w="890" w:type="dxa"/>
            <w:tcBorders>
              <w:top w:val="nil"/>
              <w:left w:val="nil"/>
              <w:bottom w:val="single" w:color="auto" w:sz="4"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1.2</w:t>
            </w:r>
          </w:p>
        </w:tc>
        <w:tc>
          <w:tcPr>
            <w:tcW w:w="955" w:type="dxa"/>
            <w:tcBorders>
              <w:top w:val="nil"/>
              <w:left w:val="nil"/>
              <w:bottom w:val="single" w:color="auto" w:sz="4"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1.0</w:t>
            </w:r>
          </w:p>
        </w:tc>
        <w:tc>
          <w:tcPr>
            <w:tcW w:w="1000" w:type="dxa"/>
            <w:tcBorders>
              <w:top w:val="nil"/>
              <w:left w:val="nil"/>
              <w:bottom w:val="single" w:color="auto" w:sz="4"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0.8</w:t>
            </w:r>
          </w:p>
        </w:tc>
        <w:tc>
          <w:tcPr>
            <w:tcW w:w="1000" w:type="dxa"/>
            <w:tcBorders>
              <w:top w:val="nil"/>
              <w:left w:val="nil"/>
              <w:bottom w:val="single" w:color="auto" w:sz="4"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0.6</w:t>
            </w:r>
          </w:p>
        </w:tc>
        <w:tc>
          <w:tcPr>
            <w:tcW w:w="930" w:type="dxa"/>
            <w:tcBorders>
              <w:top w:val="single" w:color="auto" w:sz="4" w:space="0"/>
              <w:left w:val="nil"/>
              <w:bottom w:val="single" w:color="auto" w:sz="4"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0.5</w:t>
            </w:r>
          </w:p>
        </w:tc>
        <w:tc>
          <w:tcPr>
            <w:tcW w:w="790" w:type="dxa"/>
            <w:tcBorders>
              <w:top w:val="single" w:color="auto" w:sz="4" w:space="0"/>
              <w:left w:val="nil"/>
              <w:bottom w:val="single" w:color="auto" w:sz="4" w:space="0"/>
              <w:right w:val="single" w:color="auto" w:sz="12" w:space="0"/>
            </w:tcBorders>
            <w:vAlign w:val="center"/>
          </w:tcPr>
          <w:p>
            <w:pPr>
              <w:jc w:val="center"/>
              <w:rPr>
                <w:rFonts w:ascii="宋体" w:hAnsi="宋体"/>
                <w:color w:val="auto"/>
                <w:highlight w:val="none"/>
              </w:rPr>
            </w:pPr>
            <w:r>
              <w:rPr>
                <w:rFonts w:ascii="宋体" w:hAnsi="宋体" w:cs="宋体"/>
                <w:color w:val="auto"/>
                <w:highlight w:val="none"/>
              </w:rPr>
              <w:t>0.4</w:t>
            </w:r>
          </w:p>
        </w:tc>
      </w:tr>
      <w:tr>
        <w:tblPrEx>
          <w:tblCellMar>
            <w:top w:w="0" w:type="dxa"/>
            <w:left w:w="0" w:type="dxa"/>
            <w:bottom w:w="0" w:type="dxa"/>
            <w:right w:w="0" w:type="dxa"/>
          </w:tblCellMar>
        </w:tblPrEx>
        <w:trPr>
          <w:trHeight w:val="1079" w:hRule="atLeast"/>
        </w:trPr>
        <w:tc>
          <w:tcPr>
            <w:tcW w:w="449" w:type="dxa"/>
            <w:tcBorders>
              <w:top w:val="nil"/>
              <w:left w:val="single" w:color="auto" w:sz="12" w:space="0"/>
              <w:bottom w:val="single" w:color="auto" w:sz="4"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5</w:t>
            </w:r>
          </w:p>
        </w:tc>
        <w:tc>
          <w:tcPr>
            <w:tcW w:w="575" w:type="dxa"/>
            <w:vMerge w:val="continue"/>
            <w:tcBorders>
              <w:top w:val="nil"/>
              <w:left w:val="single" w:color="auto" w:sz="4" w:space="0"/>
              <w:bottom w:val="single" w:color="auto" w:sz="4" w:space="0"/>
              <w:right w:val="single" w:color="auto" w:sz="4" w:space="0"/>
            </w:tcBorders>
            <w:vAlign w:val="center"/>
          </w:tcPr>
          <w:p>
            <w:pPr>
              <w:jc w:val="center"/>
              <w:rPr>
                <w:rFonts w:ascii="宋体" w:hAnsi="宋体"/>
                <w:color w:val="auto"/>
                <w:highlight w:val="none"/>
              </w:rPr>
            </w:pPr>
          </w:p>
        </w:tc>
        <w:tc>
          <w:tcPr>
            <w:tcW w:w="1297" w:type="dxa"/>
            <w:tcBorders>
              <w:top w:val="nil"/>
              <w:left w:val="nil"/>
              <w:bottom w:val="single" w:color="auto" w:sz="4" w:space="0"/>
              <w:right w:val="single" w:color="auto" w:sz="4" w:space="0"/>
            </w:tcBorders>
            <w:vAlign w:val="center"/>
          </w:tcPr>
          <w:p>
            <w:pPr>
              <w:jc w:val="center"/>
              <w:rPr>
                <w:rFonts w:ascii="宋体" w:hAnsi="宋体"/>
                <w:color w:val="auto"/>
                <w:highlight w:val="none"/>
              </w:rPr>
            </w:pPr>
            <w:r>
              <w:rPr>
                <w:rFonts w:hint="eastAsia" w:ascii="宋体" w:hAnsi="宋体" w:cs="宋体"/>
                <w:color w:val="auto"/>
                <w:highlight w:val="none"/>
              </w:rPr>
              <w:t>工程量清单</w:t>
            </w:r>
          </w:p>
          <w:p>
            <w:pPr>
              <w:jc w:val="center"/>
              <w:rPr>
                <w:rFonts w:ascii="宋体" w:hAnsi="宋体"/>
                <w:color w:val="auto"/>
                <w:highlight w:val="none"/>
              </w:rPr>
            </w:pPr>
            <w:r>
              <w:rPr>
                <w:rFonts w:hint="eastAsia" w:ascii="宋体" w:hAnsi="宋体" w:cs="宋体"/>
                <w:color w:val="auto"/>
                <w:highlight w:val="none"/>
              </w:rPr>
              <w:t>及预算、招标控制价的编制或审核</w:t>
            </w:r>
          </w:p>
        </w:tc>
        <w:tc>
          <w:tcPr>
            <w:tcW w:w="968" w:type="dxa"/>
            <w:tcBorders>
              <w:top w:val="nil"/>
              <w:left w:val="nil"/>
              <w:bottom w:val="single" w:color="auto" w:sz="4" w:space="0"/>
              <w:right w:val="single" w:color="auto" w:sz="4" w:space="0"/>
            </w:tcBorders>
            <w:vAlign w:val="center"/>
          </w:tcPr>
          <w:p>
            <w:pPr>
              <w:jc w:val="center"/>
              <w:rPr>
                <w:rFonts w:ascii="宋体" w:hAnsi="宋体"/>
                <w:color w:val="auto"/>
                <w:highlight w:val="none"/>
              </w:rPr>
            </w:pPr>
            <w:r>
              <w:rPr>
                <w:rFonts w:hint="eastAsia" w:ascii="宋体" w:hAnsi="宋体" w:cs="宋体"/>
                <w:color w:val="auto"/>
                <w:highlight w:val="none"/>
              </w:rPr>
              <w:t>建安工程造价</w:t>
            </w:r>
          </w:p>
        </w:tc>
        <w:tc>
          <w:tcPr>
            <w:tcW w:w="826" w:type="dxa"/>
            <w:tcBorders>
              <w:top w:val="nil"/>
              <w:left w:val="nil"/>
              <w:bottom w:val="single" w:color="auto" w:sz="4"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3.6</w:t>
            </w:r>
          </w:p>
        </w:tc>
        <w:tc>
          <w:tcPr>
            <w:tcW w:w="890" w:type="dxa"/>
            <w:tcBorders>
              <w:top w:val="nil"/>
              <w:left w:val="nil"/>
              <w:bottom w:val="single" w:color="auto" w:sz="4"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3.3</w:t>
            </w:r>
          </w:p>
        </w:tc>
        <w:tc>
          <w:tcPr>
            <w:tcW w:w="955" w:type="dxa"/>
            <w:tcBorders>
              <w:top w:val="nil"/>
              <w:left w:val="nil"/>
              <w:bottom w:val="single" w:color="auto" w:sz="4"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3.0</w:t>
            </w:r>
          </w:p>
        </w:tc>
        <w:tc>
          <w:tcPr>
            <w:tcW w:w="1000" w:type="dxa"/>
            <w:tcBorders>
              <w:top w:val="nil"/>
              <w:left w:val="nil"/>
              <w:bottom w:val="single" w:color="auto" w:sz="4"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2.7</w:t>
            </w:r>
          </w:p>
        </w:tc>
        <w:tc>
          <w:tcPr>
            <w:tcW w:w="1000" w:type="dxa"/>
            <w:tcBorders>
              <w:top w:val="nil"/>
              <w:left w:val="nil"/>
              <w:bottom w:val="single" w:color="auto" w:sz="4"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2.4</w:t>
            </w:r>
          </w:p>
        </w:tc>
        <w:tc>
          <w:tcPr>
            <w:tcW w:w="930" w:type="dxa"/>
            <w:tcBorders>
              <w:top w:val="single" w:color="auto" w:sz="4" w:space="0"/>
              <w:left w:val="nil"/>
              <w:bottom w:val="single" w:color="auto" w:sz="4"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2.1</w:t>
            </w:r>
          </w:p>
        </w:tc>
        <w:tc>
          <w:tcPr>
            <w:tcW w:w="790" w:type="dxa"/>
            <w:tcBorders>
              <w:top w:val="single" w:color="auto" w:sz="4" w:space="0"/>
              <w:left w:val="nil"/>
              <w:bottom w:val="single" w:color="auto" w:sz="4" w:space="0"/>
              <w:right w:val="single" w:color="auto" w:sz="12" w:space="0"/>
            </w:tcBorders>
            <w:vAlign w:val="center"/>
          </w:tcPr>
          <w:p>
            <w:pPr>
              <w:jc w:val="center"/>
              <w:rPr>
                <w:rFonts w:ascii="宋体" w:hAnsi="宋体"/>
                <w:color w:val="auto"/>
                <w:highlight w:val="none"/>
              </w:rPr>
            </w:pPr>
            <w:r>
              <w:rPr>
                <w:rFonts w:ascii="宋体" w:hAnsi="宋体" w:cs="宋体"/>
                <w:color w:val="auto"/>
                <w:highlight w:val="none"/>
              </w:rPr>
              <w:t>1.8</w:t>
            </w:r>
          </w:p>
        </w:tc>
      </w:tr>
      <w:tr>
        <w:tblPrEx>
          <w:tblCellMar>
            <w:top w:w="0" w:type="dxa"/>
            <w:left w:w="0" w:type="dxa"/>
            <w:bottom w:w="0" w:type="dxa"/>
            <w:right w:w="0" w:type="dxa"/>
          </w:tblCellMar>
        </w:tblPrEx>
        <w:trPr>
          <w:trHeight w:val="1093" w:hRule="atLeast"/>
        </w:trPr>
        <w:tc>
          <w:tcPr>
            <w:tcW w:w="449" w:type="dxa"/>
            <w:tcBorders>
              <w:top w:val="nil"/>
              <w:left w:val="single" w:color="auto" w:sz="12" w:space="0"/>
              <w:bottom w:val="single" w:color="auto" w:sz="4"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6</w:t>
            </w:r>
          </w:p>
        </w:tc>
        <w:tc>
          <w:tcPr>
            <w:tcW w:w="575" w:type="dxa"/>
            <w:tcBorders>
              <w:top w:val="nil"/>
              <w:left w:val="single" w:color="auto" w:sz="4" w:space="0"/>
              <w:bottom w:val="single" w:color="auto" w:sz="4" w:space="0"/>
              <w:right w:val="single" w:color="auto" w:sz="4" w:space="0"/>
            </w:tcBorders>
            <w:vAlign w:val="center"/>
          </w:tcPr>
          <w:p>
            <w:pPr>
              <w:jc w:val="center"/>
              <w:rPr>
                <w:rFonts w:ascii="宋体" w:hAnsi="宋体"/>
                <w:color w:val="auto"/>
                <w:highlight w:val="none"/>
              </w:rPr>
            </w:pPr>
            <w:r>
              <w:rPr>
                <w:rFonts w:hint="eastAsia" w:ascii="宋体" w:hAnsi="宋体" w:cs="宋体"/>
                <w:color w:val="auto"/>
                <w:highlight w:val="none"/>
              </w:rPr>
              <w:t>定额计价法</w:t>
            </w:r>
          </w:p>
        </w:tc>
        <w:tc>
          <w:tcPr>
            <w:tcW w:w="1297" w:type="dxa"/>
            <w:tcBorders>
              <w:top w:val="nil"/>
              <w:left w:val="nil"/>
              <w:bottom w:val="single" w:color="auto" w:sz="4" w:space="0"/>
              <w:right w:val="single" w:color="auto" w:sz="4" w:space="0"/>
            </w:tcBorders>
            <w:vAlign w:val="center"/>
          </w:tcPr>
          <w:p>
            <w:pPr>
              <w:jc w:val="center"/>
              <w:rPr>
                <w:rFonts w:ascii="宋体" w:hAnsi="宋体"/>
                <w:color w:val="auto"/>
                <w:highlight w:val="none"/>
              </w:rPr>
            </w:pPr>
            <w:r>
              <w:rPr>
                <w:rFonts w:hint="eastAsia" w:ascii="宋体" w:hAnsi="宋体" w:cs="宋体"/>
                <w:color w:val="auto"/>
                <w:highlight w:val="none"/>
              </w:rPr>
              <w:t>预算、招标</w:t>
            </w:r>
          </w:p>
          <w:p>
            <w:pPr>
              <w:jc w:val="center"/>
              <w:rPr>
                <w:rFonts w:ascii="宋体" w:hAnsi="宋体"/>
                <w:color w:val="auto"/>
                <w:highlight w:val="none"/>
              </w:rPr>
            </w:pPr>
            <w:r>
              <w:rPr>
                <w:rFonts w:hint="eastAsia" w:ascii="宋体" w:hAnsi="宋体" w:cs="宋体"/>
                <w:color w:val="auto"/>
                <w:highlight w:val="none"/>
              </w:rPr>
              <w:t>控制价、投标报价的编制</w:t>
            </w:r>
          </w:p>
          <w:p>
            <w:pPr>
              <w:jc w:val="center"/>
              <w:rPr>
                <w:rFonts w:ascii="宋体" w:hAnsi="宋体"/>
                <w:color w:val="auto"/>
                <w:highlight w:val="none"/>
              </w:rPr>
            </w:pPr>
            <w:r>
              <w:rPr>
                <w:rFonts w:hint="eastAsia" w:ascii="宋体" w:hAnsi="宋体" w:cs="宋体"/>
                <w:color w:val="auto"/>
                <w:highlight w:val="none"/>
              </w:rPr>
              <w:t>或审核</w:t>
            </w:r>
          </w:p>
        </w:tc>
        <w:tc>
          <w:tcPr>
            <w:tcW w:w="968" w:type="dxa"/>
            <w:tcBorders>
              <w:top w:val="nil"/>
              <w:left w:val="nil"/>
              <w:bottom w:val="single" w:color="auto" w:sz="4" w:space="0"/>
              <w:right w:val="single" w:color="auto" w:sz="4" w:space="0"/>
            </w:tcBorders>
            <w:vAlign w:val="center"/>
          </w:tcPr>
          <w:p>
            <w:pPr>
              <w:jc w:val="center"/>
              <w:rPr>
                <w:rFonts w:ascii="宋体" w:hAnsi="宋体"/>
                <w:color w:val="auto"/>
                <w:highlight w:val="none"/>
              </w:rPr>
            </w:pPr>
            <w:r>
              <w:rPr>
                <w:rFonts w:hint="eastAsia" w:ascii="宋体" w:hAnsi="宋体" w:cs="宋体"/>
                <w:color w:val="auto"/>
                <w:highlight w:val="none"/>
              </w:rPr>
              <w:t>建安工程造价</w:t>
            </w:r>
          </w:p>
        </w:tc>
        <w:tc>
          <w:tcPr>
            <w:tcW w:w="826" w:type="dxa"/>
            <w:tcBorders>
              <w:top w:val="nil"/>
              <w:left w:val="nil"/>
              <w:bottom w:val="single" w:color="auto" w:sz="4"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3.0</w:t>
            </w:r>
          </w:p>
        </w:tc>
        <w:tc>
          <w:tcPr>
            <w:tcW w:w="890" w:type="dxa"/>
            <w:tcBorders>
              <w:top w:val="nil"/>
              <w:left w:val="nil"/>
              <w:bottom w:val="single" w:color="auto" w:sz="4"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2.5</w:t>
            </w:r>
          </w:p>
        </w:tc>
        <w:tc>
          <w:tcPr>
            <w:tcW w:w="955" w:type="dxa"/>
            <w:tcBorders>
              <w:top w:val="nil"/>
              <w:left w:val="nil"/>
              <w:bottom w:val="single" w:color="auto" w:sz="4"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2.3</w:t>
            </w:r>
          </w:p>
        </w:tc>
        <w:tc>
          <w:tcPr>
            <w:tcW w:w="1000" w:type="dxa"/>
            <w:tcBorders>
              <w:top w:val="nil"/>
              <w:left w:val="nil"/>
              <w:bottom w:val="single" w:color="auto" w:sz="4"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2.1</w:t>
            </w:r>
          </w:p>
        </w:tc>
        <w:tc>
          <w:tcPr>
            <w:tcW w:w="1000" w:type="dxa"/>
            <w:tcBorders>
              <w:top w:val="nil"/>
              <w:left w:val="nil"/>
              <w:bottom w:val="single" w:color="auto" w:sz="4"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1.9</w:t>
            </w:r>
          </w:p>
        </w:tc>
        <w:tc>
          <w:tcPr>
            <w:tcW w:w="930" w:type="dxa"/>
            <w:tcBorders>
              <w:top w:val="single" w:color="auto" w:sz="4" w:space="0"/>
              <w:left w:val="nil"/>
              <w:bottom w:val="single" w:color="auto" w:sz="4"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1.7</w:t>
            </w:r>
          </w:p>
        </w:tc>
        <w:tc>
          <w:tcPr>
            <w:tcW w:w="790" w:type="dxa"/>
            <w:tcBorders>
              <w:top w:val="single" w:color="auto" w:sz="4" w:space="0"/>
              <w:left w:val="nil"/>
              <w:bottom w:val="single" w:color="auto" w:sz="4" w:space="0"/>
              <w:right w:val="single" w:color="auto" w:sz="12" w:space="0"/>
            </w:tcBorders>
            <w:vAlign w:val="center"/>
          </w:tcPr>
          <w:p>
            <w:pPr>
              <w:jc w:val="center"/>
              <w:rPr>
                <w:rFonts w:ascii="宋体" w:hAnsi="宋体"/>
                <w:color w:val="auto"/>
                <w:highlight w:val="none"/>
              </w:rPr>
            </w:pPr>
            <w:r>
              <w:rPr>
                <w:rFonts w:ascii="宋体" w:hAnsi="宋体" w:cs="宋体"/>
                <w:color w:val="auto"/>
                <w:highlight w:val="none"/>
              </w:rPr>
              <w:t>1.5</w:t>
            </w:r>
          </w:p>
        </w:tc>
      </w:tr>
      <w:tr>
        <w:tblPrEx>
          <w:tblCellMar>
            <w:top w:w="0" w:type="dxa"/>
            <w:left w:w="0" w:type="dxa"/>
            <w:bottom w:w="0" w:type="dxa"/>
            <w:right w:w="0" w:type="dxa"/>
          </w:tblCellMar>
        </w:tblPrEx>
        <w:trPr>
          <w:trHeight w:val="562" w:hRule="atLeast"/>
        </w:trPr>
        <w:tc>
          <w:tcPr>
            <w:tcW w:w="449" w:type="dxa"/>
            <w:tcBorders>
              <w:top w:val="nil"/>
              <w:left w:val="single" w:color="auto" w:sz="12" w:space="0"/>
              <w:bottom w:val="single" w:color="auto" w:sz="4"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7</w:t>
            </w:r>
          </w:p>
        </w:tc>
        <w:tc>
          <w:tcPr>
            <w:tcW w:w="1872" w:type="dxa"/>
            <w:gridSpan w:val="2"/>
            <w:tcBorders>
              <w:top w:val="nil"/>
              <w:left w:val="single" w:color="auto" w:sz="4" w:space="0"/>
              <w:bottom w:val="single" w:color="auto" w:sz="4" w:space="0"/>
              <w:right w:val="single" w:color="auto" w:sz="4" w:space="0"/>
            </w:tcBorders>
            <w:vAlign w:val="center"/>
          </w:tcPr>
          <w:p>
            <w:pPr>
              <w:jc w:val="center"/>
              <w:rPr>
                <w:rFonts w:ascii="宋体" w:hAnsi="宋体"/>
                <w:color w:val="auto"/>
                <w:highlight w:val="none"/>
              </w:rPr>
            </w:pPr>
            <w:r>
              <w:rPr>
                <w:rFonts w:hint="eastAsia" w:ascii="宋体" w:hAnsi="宋体" w:cs="宋体"/>
                <w:color w:val="auto"/>
                <w:highlight w:val="none"/>
              </w:rPr>
              <w:t>工程结算编制</w:t>
            </w:r>
          </w:p>
        </w:tc>
        <w:tc>
          <w:tcPr>
            <w:tcW w:w="968" w:type="dxa"/>
            <w:tcBorders>
              <w:top w:val="nil"/>
              <w:left w:val="nil"/>
              <w:bottom w:val="single" w:color="auto" w:sz="4" w:space="0"/>
              <w:right w:val="single" w:color="auto" w:sz="4" w:space="0"/>
            </w:tcBorders>
            <w:vAlign w:val="center"/>
          </w:tcPr>
          <w:p>
            <w:pPr>
              <w:jc w:val="center"/>
              <w:rPr>
                <w:rFonts w:ascii="宋体" w:hAnsi="宋体"/>
                <w:color w:val="auto"/>
                <w:highlight w:val="none"/>
              </w:rPr>
            </w:pPr>
            <w:r>
              <w:rPr>
                <w:rFonts w:hint="eastAsia" w:ascii="宋体" w:hAnsi="宋体" w:cs="宋体"/>
                <w:color w:val="auto"/>
                <w:highlight w:val="none"/>
              </w:rPr>
              <w:t>建安工程造价</w:t>
            </w:r>
          </w:p>
        </w:tc>
        <w:tc>
          <w:tcPr>
            <w:tcW w:w="826" w:type="dxa"/>
            <w:tcBorders>
              <w:top w:val="nil"/>
              <w:left w:val="nil"/>
              <w:bottom w:val="single" w:color="auto" w:sz="4"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2.5</w:t>
            </w:r>
          </w:p>
        </w:tc>
        <w:tc>
          <w:tcPr>
            <w:tcW w:w="890" w:type="dxa"/>
            <w:tcBorders>
              <w:top w:val="nil"/>
              <w:left w:val="nil"/>
              <w:bottom w:val="single" w:color="auto" w:sz="4"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2.2</w:t>
            </w:r>
          </w:p>
        </w:tc>
        <w:tc>
          <w:tcPr>
            <w:tcW w:w="955" w:type="dxa"/>
            <w:tcBorders>
              <w:top w:val="nil"/>
              <w:left w:val="nil"/>
              <w:bottom w:val="single" w:color="auto" w:sz="4"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1.9</w:t>
            </w:r>
          </w:p>
        </w:tc>
        <w:tc>
          <w:tcPr>
            <w:tcW w:w="1000" w:type="dxa"/>
            <w:tcBorders>
              <w:top w:val="nil"/>
              <w:left w:val="nil"/>
              <w:bottom w:val="single" w:color="auto" w:sz="4"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1.6</w:t>
            </w:r>
          </w:p>
        </w:tc>
        <w:tc>
          <w:tcPr>
            <w:tcW w:w="1000" w:type="dxa"/>
            <w:tcBorders>
              <w:top w:val="nil"/>
              <w:left w:val="nil"/>
              <w:bottom w:val="single" w:color="auto" w:sz="4"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1.3</w:t>
            </w:r>
          </w:p>
        </w:tc>
        <w:tc>
          <w:tcPr>
            <w:tcW w:w="930" w:type="dxa"/>
            <w:tcBorders>
              <w:top w:val="single" w:color="auto" w:sz="4" w:space="0"/>
              <w:left w:val="nil"/>
              <w:bottom w:val="single" w:color="auto" w:sz="4"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1.0</w:t>
            </w:r>
          </w:p>
        </w:tc>
        <w:tc>
          <w:tcPr>
            <w:tcW w:w="790" w:type="dxa"/>
            <w:tcBorders>
              <w:top w:val="single" w:color="auto" w:sz="4" w:space="0"/>
              <w:left w:val="nil"/>
              <w:bottom w:val="single" w:color="auto" w:sz="4" w:space="0"/>
              <w:right w:val="single" w:color="auto" w:sz="12" w:space="0"/>
            </w:tcBorders>
            <w:vAlign w:val="center"/>
          </w:tcPr>
          <w:p>
            <w:pPr>
              <w:jc w:val="center"/>
              <w:rPr>
                <w:rFonts w:ascii="宋体" w:hAnsi="宋体"/>
                <w:color w:val="auto"/>
                <w:highlight w:val="none"/>
              </w:rPr>
            </w:pPr>
            <w:r>
              <w:rPr>
                <w:rFonts w:ascii="宋体" w:hAnsi="宋体" w:cs="宋体"/>
                <w:color w:val="auto"/>
                <w:highlight w:val="none"/>
              </w:rPr>
              <w:t>0.70</w:t>
            </w:r>
          </w:p>
        </w:tc>
      </w:tr>
      <w:tr>
        <w:tblPrEx>
          <w:tblCellMar>
            <w:top w:w="0" w:type="dxa"/>
            <w:left w:w="0" w:type="dxa"/>
            <w:bottom w:w="0" w:type="dxa"/>
            <w:right w:w="0" w:type="dxa"/>
          </w:tblCellMar>
        </w:tblPrEx>
        <w:trPr>
          <w:trHeight w:val="546" w:hRule="atLeast"/>
        </w:trPr>
        <w:tc>
          <w:tcPr>
            <w:tcW w:w="449" w:type="dxa"/>
            <w:vMerge w:val="restart"/>
            <w:tcBorders>
              <w:top w:val="nil"/>
              <w:left w:val="single" w:color="auto" w:sz="12" w:space="0"/>
              <w:bottom w:val="single" w:color="auto" w:sz="4"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8</w:t>
            </w:r>
          </w:p>
        </w:tc>
        <w:tc>
          <w:tcPr>
            <w:tcW w:w="575" w:type="dxa"/>
            <w:vMerge w:val="restart"/>
            <w:tcBorders>
              <w:top w:val="nil"/>
              <w:left w:val="single" w:color="auto" w:sz="4" w:space="0"/>
              <w:bottom w:val="single" w:color="auto" w:sz="4" w:space="0"/>
              <w:right w:val="single" w:color="auto" w:sz="4" w:space="0"/>
            </w:tcBorders>
            <w:vAlign w:val="center"/>
          </w:tcPr>
          <w:p>
            <w:pPr>
              <w:jc w:val="center"/>
              <w:rPr>
                <w:rFonts w:ascii="宋体" w:hAnsi="宋体"/>
                <w:color w:val="auto"/>
                <w:highlight w:val="none"/>
              </w:rPr>
            </w:pPr>
            <w:r>
              <w:rPr>
                <w:rFonts w:hint="eastAsia" w:ascii="宋体" w:hAnsi="宋体" w:cs="宋体"/>
                <w:color w:val="auto"/>
                <w:highlight w:val="none"/>
              </w:rPr>
              <w:t>工程结算审核</w:t>
            </w:r>
          </w:p>
        </w:tc>
        <w:tc>
          <w:tcPr>
            <w:tcW w:w="1297" w:type="dxa"/>
            <w:tcBorders>
              <w:top w:val="nil"/>
              <w:left w:val="nil"/>
              <w:bottom w:val="single" w:color="auto" w:sz="4" w:space="0"/>
              <w:right w:val="single" w:color="auto" w:sz="4" w:space="0"/>
            </w:tcBorders>
            <w:vAlign w:val="center"/>
          </w:tcPr>
          <w:p>
            <w:pPr>
              <w:jc w:val="center"/>
              <w:rPr>
                <w:rFonts w:ascii="宋体" w:hAnsi="宋体"/>
                <w:color w:val="auto"/>
                <w:highlight w:val="none"/>
              </w:rPr>
            </w:pPr>
            <w:r>
              <w:rPr>
                <w:rFonts w:hint="eastAsia" w:ascii="宋体" w:hAnsi="宋体" w:cs="宋体"/>
                <w:color w:val="auto"/>
                <w:highlight w:val="none"/>
              </w:rPr>
              <w:t>基本收费</w:t>
            </w:r>
          </w:p>
        </w:tc>
        <w:tc>
          <w:tcPr>
            <w:tcW w:w="968" w:type="dxa"/>
            <w:tcBorders>
              <w:top w:val="nil"/>
              <w:left w:val="nil"/>
              <w:bottom w:val="single" w:color="auto" w:sz="4" w:space="0"/>
              <w:right w:val="single" w:color="auto" w:sz="4" w:space="0"/>
            </w:tcBorders>
            <w:vAlign w:val="center"/>
          </w:tcPr>
          <w:p>
            <w:pPr>
              <w:jc w:val="center"/>
              <w:rPr>
                <w:rFonts w:ascii="宋体" w:hAnsi="宋体"/>
                <w:color w:val="auto"/>
                <w:highlight w:val="none"/>
              </w:rPr>
            </w:pPr>
            <w:r>
              <w:rPr>
                <w:rFonts w:hint="eastAsia" w:ascii="宋体" w:hAnsi="宋体" w:cs="宋体"/>
                <w:color w:val="auto"/>
                <w:highlight w:val="none"/>
              </w:rPr>
              <w:t>送审工程造价</w:t>
            </w:r>
          </w:p>
        </w:tc>
        <w:tc>
          <w:tcPr>
            <w:tcW w:w="826" w:type="dxa"/>
            <w:tcBorders>
              <w:top w:val="single" w:color="auto" w:sz="4" w:space="0"/>
              <w:left w:val="nil"/>
              <w:bottom w:val="single" w:color="auto" w:sz="4" w:space="0"/>
              <w:right w:val="single" w:color="auto" w:sz="4" w:space="0"/>
            </w:tcBorders>
            <w:vAlign w:val="center"/>
          </w:tcPr>
          <w:p>
            <w:pPr>
              <w:jc w:val="center"/>
              <w:rPr>
                <w:rFonts w:ascii="宋体" w:hAnsi="宋体"/>
                <w:dstrike/>
                <w:color w:val="auto"/>
                <w:highlight w:val="none"/>
              </w:rPr>
            </w:pPr>
            <w:r>
              <w:rPr>
                <w:rFonts w:ascii="宋体" w:hAnsi="宋体" w:cs="宋体"/>
                <w:color w:val="auto"/>
                <w:highlight w:val="none"/>
              </w:rPr>
              <w:t>2.8</w:t>
            </w:r>
          </w:p>
        </w:tc>
        <w:tc>
          <w:tcPr>
            <w:tcW w:w="890" w:type="dxa"/>
            <w:tcBorders>
              <w:top w:val="single" w:color="auto" w:sz="4" w:space="0"/>
              <w:left w:val="nil"/>
              <w:bottom w:val="single" w:color="auto" w:sz="4"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2.5</w:t>
            </w:r>
          </w:p>
        </w:tc>
        <w:tc>
          <w:tcPr>
            <w:tcW w:w="955" w:type="dxa"/>
            <w:tcBorders>
              <w:top w:val="single" w:color="auto" w:sz="4" w:space="0"/>
              <w:left w:val="nil"/>
              <w:bottom w:val="single" w:color="auto" w:sz="4"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2.2</w:t>
            </w:r>
          </w:p>
        </w:tc>
        <w:tc>
          <w:tcPr>
            <w:tcW w:w="1000" w:type="dxa"/>
            <w:tcBorders>
              <w:top w:val="single" w:color="auto" w:sz="4" w:space="0"/>
              <w:left w:val="nil"/>
              <w:bottom w:val="single" w:color="auto" w:sz="4"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1.9</w:t>
            </w:r>
          </w:p>
        </w:tc>
        <w:tc>
          <w:tcPr>
            <w:tcW w:w="1000" w:type="dxa"/>
            <w:tcBorders>
              <w:top w:val="single" w:color="auto" w:sz="4" w:space="0"/>
              <w:left w:val="nil"/>
              <w:bottom w:val="single" w:color="auto" w:sz="4"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1.6</w:t>
            </w:r>
          </w:p>
        </w:tc>
        <w:tc>
          <w:tcPr>
            <w:tcW w:w="930" w:type="dxa"/>
            <w:tcBorders>
              <w:top w:val="single" w:color="auto" w:sz="4" w:space="0"/>
              <w:left w:val="nil"/>
              <w:bottom w:val="single" w:color="auto" w:sz="4"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1.3</w:t>
            </w:r>
          </w:p>
        </w:tc>
        <w:tc>
          <w:tcPr>
            <w:tcW w:w="790" w:type="dxa"/>
            <w:tcBorders>
              <w:top w:val="single" w:color="auto" w:sz="4" w:space="0"/>
              <w:left w:val="nil"/>
              <w:bottom w:val="single" w:color="auto" w:sz="4" w:space="0"/>
              <w:right w:val="single" w:color="auto" w:sz="12" w:space="0"/>
            </w:tcBorders>
            <w:vAlign w:val="center"/>
          </w:tcPr>
          <w:p>
            <w:pPr>
              <w:jc w:val="center"/>
              <w:rPr>
                <w:rFonts w:ascii="宋体" w:hAnsi="宋体"/>
                <w:color w:val="auto"/>
                <w:highlight w:val="none"/>
              </w:rPr>
            </w:pPr>
            <w:r>
              <w:rPr>
                <w:rFonts w:ascii="宋体" w:hAnsi="宋体" w:cs="宋体"/>
                <w:color w:val="auto"/>
                <w:highlight w:val="none"/>
              </w:rPr>
              <w:t>1.0</w:t>
            </w:r>
          </w:p>
        </w:tc>
      </w:tr>
      <w:tr>
        <w:tblPrEx>
          <w:tblCellMar>
            <w:top w:w="0" w:type="dxa"/>
            <w:left w:w="0" w:type="dxa"/>
            <w:bottom w:w="0" w:type="dxa"/>
            <w:right w:w="0" w:type="dxa"/>
          </w:tblCellMar>
        </w:tblPrEx>
        <w:trPr>
          <w:trHeight w:val="761" w:hRule="atLeast"/>
        </w:trPr>
        <w:tc>
          <w:tcPr>
            <w:tcW w:w="449" w:type="dxa"/>
            <w:vMerge w:val="continue"/>
            <w:tcBorders>
              <w:top w:val="nil"/>
              <w:left w:val="single" w:color="auto" w:sz="12" w:space="0"/>
              <w:bottom w:val="single" w:color="auto" w:sz="4" w:space="0"/>
              <w:right w:val="single" w:color="auto" w:sz="4" w:space="0"/>
            </w:tcBorders>
            <w:vAlign w:val="center"/>
          </w:tcPr>
          <w:p>
            <w:pPr>
              <w:jc w:val="center"/>
              <w:rPr>
                <w:rFonts w:ascii="宋体" w:hAnsi="宋体"/>
                <w:color w:val="auto"/>
                <w:highlight w:val="none"/>
              </w:rPr>
            </w:pPr>
          </w:p>
        </w:tc>
        <w:tc>
          <w:tcPr>
            <w:tcW w:w="575" w:type="dxa"/>
            <w:vMerge w:val="continue"/>
            <w:tcBorders>
              <w:top w:val="nil"/>
              <w:left w:val="single" w:color="auto" w:sz="4" w:space="0"/>
              <w:bottom w:val="single" w:color="auto" w:sz="4" w:space="0"/>
              <w:right w:val="single" w:color="auto" w:sz="4" w:space="0"/>
            </w:tcBorders>
            <w:vAlign w:val="center"/>
          </w:tcPr>
          <w:p>
            <w:pPr>
              <w:jc w:val="center"/>
              <w:rPr>
                <w:rFonts w:ascii="宋体" w:hAnsi="宋体"/>
                <w:color w:val="auto"/>
                <w:highlight w:val="none"/>
              </w:rPr>
            </w:pPr>
          </w:p>
        </w:tc>
        <w:tc>
          <w:tcPr>
            <w:tcW w:w="1297" w:type="dxa"/>
            <w:tcBorders>
              <w:top w:val="nil"/>
              <w:left w:val="nil"/>
              <w:bottom w:val="single" w:color="auto" w:sz="4" w:space="0"/>
              <w:right w:val="single" w:color="auto" w:sz="4" w:space="0"/>
            </w:tcBorders>
            <w:vAlign w:val="center"/>
          </w:tcPr>
          <w:p>
            <w:pPr>
              <w:jc w:val="center"/>
              <w:rPr>
                <w:rFonts w:ascii="宋体" w:hAnsi="宋体"/>
                <w:color w:val="auto"/>
                <w:highlight w:val="none"/>
              </w:rPr>
            </w:pPr>
            <w:r>
              <w:rPr>
                <w:rFonts w:hint="eastAsia" w:ascii="宋体" w:hAnsi="宋体" w:cs="宋体"/>
                <w:color w:val="auto"/>
                <w:highlight w:val="none"/>
              </w:rPr>
              <w:t>追加费用</w:t>
            </w:r>
          </w:p>
        </w:tc>
        <w:tc>
          <w:tcPr>
            <w:tcW w:w="968" w:type="dxa"/>
            <w:tcBorders>
              <w:top w:val="nil"/>
              <w:left w:val="nil"/>
              <w:bottom w:val="single" w:color="auto" w:sz="4" w:space="0"/>
              <w:right w:val="single" w:color="auto" w:sz="4" w:space="0"/>
            </w:tcBorders>
            <w:vAlign w:val="center"/>
          </w:tcPr>
          <w:p>
            <w:pPr>
              <w:jc w:val="center"/>
              <w:rPr>
                <w:rFonts w:ascii="宋体" w:hAnsi="宋体"/>
                <w:color w:val="auto"/>
                <w:highlight w:val="none"/>
              </w:rPr>
            </w:pPr>
            <w:r>
              <w:rPr>
                <w:rFonts w:hint="eastAsia" w:ascii="宋体" w:hAnsi="宋体" w:cs="宋体"/>
                <w:color w:val="auto"/>
                <w:highlight w:val="none"/>
              </w:rPr>
              <w:t>超过</w:t>
            </w:r>
            <w:r>
              <w:rPr>
                <w:rFonts w:ascii="宋体" w:hAnsi="宋体" w:cs="宋体"/>
                <w:color w:val="auto"/>
                <w:highlight w:val="none"/>
              </w:rPr>
              <w:t>5%</w:t>
            </w:r>
            <w:r>
              <w:rPr>
                <w:rFonts w:hint="eastAsia" w:ascii="宋体" w:hAnsi="宋体" w:cs="宋体"/>
                <w:color w:val="auto"/>
                <w:highlight w:val="none"/>
              </w:rPr>
              <w:t>以外的核减额、核增额</w:t>
            </w:r>
          </w:p>
        </w:tc>
        <w:tc>
          <w:tcPr>
            <w:tcW w:w="6391" w:type="dxa"/>
            <w:gridSpan w:val="7"/>
            <w:tcBorders>
              <w:top w:val="single" w:color="auto" w:sz="4" w:space="0"/>
              <w:left w:val="nil"/>
              <w:bottom w:val="single" w:color="auto" w:sz="4" w:space="0"/>
              <w:right w:val="single" w:color="auto" w:sz="12" w:space="0"/>
            </w:tcBorders>
            <w:vAlign w:val="center"/>
          </w:tcPr>
          <w:p>
            <w:pPr>
              <w:jc w:val="center"/>
              <w:rPr>
                <w:rFonts w:ascii="宋体" w:hAnsi="宋体"/>
                <w:color w:val="auto"/>
                <w:highlight w:val="none"/>
              </w:rPr>
            </w:pPr>
            <w:r>
              <w:rPr>
                <w:rFonts w:ascii="宋体" w:hAnsi="宋体" w:cs="宋体"/>
                <w:color w:val="auto"/>
                <w:highlight w:val="none"/>
              </w:rPr>
              <w:t>5%</w:t>
            </w:r>
          </w:p>
        </w:tc>
      </w:tr>
      <w:tr>
        <w:tblPrEx>
          <w:tblCellMar>
            <w:top w:w="0" w:type="dxa"/>
            <w:left w:w="0" w:type="dxa"/>
            <w:bottom w:w="0" w:type="dxa"/>
            <w:right w:w="0" w:type="dxa"/>
          </w:tblCellMar>
        </w:tblPrEx>
        <w:trPr>
          <w:trHeight w:val="616" w:hRule="atLeast"/>
        </w:trPr>
        <w:tc>
          <w:tcPr>
            <w:tcW w:w="449" w:type="dxa"/>
            <w:tcBorders>
              <w:top w:val="nil"/>
              <w:left w:val="single" w:color="auto" w:sz="12" w:space="0"/>
              <w:bottom w:val="single" w:color="auto" w:sz="4"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9</w:t>
            </w:r>
          </w:p>
        </w:tc>
        <w:tc>
          <w:tcPr>
            <w:tcW w:w="1872" w:type="dxa"/>
            <w:gridSpan w:val="2"/>
            <w:tcBorders>
              <w:top w:val="single" w:color="auto" w:sz="4" w:space="0"/>
              <w:left w:val="nil"/>
              <w:bottom w:val="single" w:color="auto" w:sz="4" w:space="0"/>
              <w:right w:val="single" w:color="auto" w:sz="4" w:space="0"/>
            </w:tcBorders>
            <w:vAlign w:val="center"/>
          </w:tcPr>
          <w:p>
            <w:pPr>
              <w:jc w:val="center"/>
              <w:rPr>
                <w:rFonts w:ascii="宋体" w:hAnsi="宋体"/>
                <w:color w:val="auto"/>
                <w:highlight w:val="none"/>
              </w:rPr>
            </w:pPr>
            <w:r>
              <w:rPr>
                <w:rFonts w:hint="eastAsia" w:ascii="宋体" w:hAnsi="宋体" w:cs="宋体"/>
                <w:color w:val="auto"/>
                <w:highlight w:val="none"/>
              </w:rPr>
              <w:t>竣工决算编制或审核</w:t>
            </w:r>
          </w:p>
        </w:tc>
        <w:tc>
          <w:tcPr>
            <w:tcW w:w="968" w:type="dxa"/>
            <w:tcBorders>
              <w:top w:val="nil"/>
              <w:left w:val="nil"/>
              <w:bottom w:val="single" w:color="auto" w:sz="4" w:space="0"/>
              <w:right w:val="single" w:color="auto" w:sz="4" w:space="0"/>
            </w:tcBorders>
            <w:vAlign w:val="center"/>
          </w:tcPr>
          <w:p>
            <w:pPr>
              <w:jc w:val="center"/>
              <w:rPr>
                <w:rFonts w:ascii="宋体" w:hAnsi="宋体"/>
                <w:dstrike/>
                <w:color w:val="auto"/>
                <w:highlight w:val="none"/>
              </w:rPr>
            </w:pPr>
            <w:r>
              <w:rPr>
                <w:rFonts w:hint="eastAsia" w:ascii="宋体" w:hAnsi="宋体" w:cs="宋体"/>
                <w:color w:val="auto"/>
                <w:highlight w:val="none"/>
              </w:rPr>
              <w:t>建设项目总费用</w:t>
            </w:r>
          </w:p>
        </w:tc>
        <w:tc>
          <w:tcPr>
            <w:tcW w:w="826" w:type="dxa"/>
            <w:tcBorders>
              <w:top w:val="single" w:color="auto" w:sz="4" w:space="0"/>
              <w:left w:val="nil"/>
              <w:bottom w:val="single" w:color="auto" w:sz="4"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2.0</w:t>
            </w:r>
          </w:p>
        </w:tc>
        <w:tc>
          <w:tcPr>
            <w:tcW w:w="890" w:type="dxa"/>
            <w:tcBorders>
              <w:top w:val="single" w:color="auto" w:sz="4" w:space="0"/>
              <w:left w:val="nil"/>
              <w:bottom w:val="single" w:color="auto" w:sz="4"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1.6</w:t>
            </w:r>
          </w:p>
        </w:tc>
        <w:tc>
          <w:tcPr>
            <w:tcW w:w="955" w:type="dxa"/>
            <w:tcBorders>
              <w:top w:val="single" w:color="auto" w:sz="4" w:space="0"/>
              <w:left w:val="nil"/>
              <w:bottom w:val="single" w:color="auto" w:sz="4"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1.2</w:t>
            </w:r>
          </w:p>
        </w:tc>
        <w:tc>
          <w:tcPr>
            <w:tcW w:w="1000" w:type="dxa"/>
            <w:tcBorders>
              <w:top w:val="single" w:color="auto" w:sz="4" w:space="0"/>
              <w:left w:val="nil"/>
              <w:bottom w:val="single" w:color="auto" w:sz="4"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0.8</w:t>
            </w:r>
          </w:p>
        </w:tc>
        <w:tc>
          <w:tcPr>
            <w:tcW w:w="1000" w:type="dxa"/>
            <w:tcBorders>
              <w:top w:val="single" w:color="auto" w:sz="4" w:space="0"/>
              <w:left w:val="nil"/>
              <w:bottom w:val="single" w:color="auto" w:sz="4"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0.5</w:t>
            </w:r>
          </w:p>
        </w:tc>
        <w:tc>
          <w:tcPr>
            <w:tcW w:w="930" w:type="dxa"/>
            <w:tcBorders>
              <w:top w:val="single" w:color="auto" w:sz="4" w:space="0"/>
              <w:left w:val="nil"/>
              <w:bottom w:val="single" w:color="auto" w:sz="4"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0.3</w:t>
            </w:r>
          </w:p>
        </w:tc>
        <w:tc>
          <w:tcPr>
            <w:tcW w:w="790" w:type="dxa"/>
            <w:tcBorders>
              <w:top w:val="single" w:color="auto" w:sz="4" w:space="0"/>
              <w:left w:val="nil"/>
              <w:bottom w:val="single" w:color="auto" w:sz="4" w:space="0"/>
              <w:right w:val="single" w:color="auto" w:sz="12" w:space="0"/>
            </w:tcBorders>
            <w:vAlign w:val="center"/>
          </w:tcPr>
          <w:p>
            <w:pPr>
              <w:jc w:val="center"/>
              <w:rPr>
                <w:rFonts w:ascii="宋体" w:hAnsi="宋体"/>
                <w:color w:val="auto"/>
                <w:highlight w:val="none"/>
              </w:rPr>
            </w:pPr>
            <w:r>
              <w:rPr>
                <w:rFonts w:ascii="宋体" w:hAnsi="宋体" w:cs="宋体"/>
                <w:color w:val="auto"/>
                <w:highlight w:val="none"/>
              </w:rPr>
              <w:t>0.1</w:t>
            </w:r>
          </w:p>
        </w:tc>
      </w:tr>
      <w:tr>
        <w:tblPrEx>
          <w:tblCellMar>
            <w:top w:w="0" w:type="dxa"/>
            <w:left w:w="0" w:type="dxa"/>
            <w:bottom w:w="0" w:type="dxa"/>
            <w:right w:w="0" w:type="dxa"/>
          </w:tblCellMar>
        </w:tblPrEx>
        <w:trPr>
          <w:trHeight w:val="610" w:hRule="atLeast"/>
        </w:trPr>
        <w:tc>
          <w:tcPr>
            <w:tcW w:w="449" w:type="dxa"/>
            <w:tcBorders>
              <w:top w:val="single" w:color="auto" w:sz="4" w:space="0"/>
              <w:left w:val="single" w:color="auto" w:sz="12" w:space="0"/>
              <w:bottom w:val="single" w:color="auto" w:sz="12"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10</w:t>
            </w:r>
          </w:p>
        </w:tc>
        <w:tc>
          <w:tcPr>
            <w:tcW w:w="1872" w:type="dxa"/>
            <w:gridSpan w:val="2"/>
            <w:tcBorders>
              <w:top w:val="single" w:color="auto" w:sz="4" w:space="0"/>
              <w:left w:val="nil"/>
              <w:bottom w:val="single" w:color="auto" w:sz="12" w:space="0"/>
              <w:right w:val="single" w:color="auto" w:sz="4" w:space="0"/>
            </w:tcBorders>
            <w:vAlign w:val="center"/>
          </w:tcPr>
          <w:p>
            <w:pPr>
              <w:jc w:val="center"/>
              <w:rPr>
                <w:rFonts w:ascii="宋体" w:hAnsi="宋体"/>
                <w:color w:val="auto"/>
                <w:highlight w:val="none"/>
              </w:rPr>
            </w:pPr>
            <w:r>
              <w:rPr>
                <w:rFonts w:hint="eastAsia" w:ascii="宋体" w:hAnsi="宋体" w:cs="宋体"/>
                <w:color w:val="auto"/>
                <w:highlight w:val="none"/>
              </w:rPr>
              <w:t>施工阶段全过程工程造价控制</w:t>
            </w:r>
          </w:p>
        </w:tc>
        <w:tc>
          <w:tcPr>
            <w:tcW w:w="968" w:type="dxa"/>
            <w:tcBorders>
              <w:top w:val="single" w:color="auto" w:sz="4" w:space="0"/>
              <w:left w:val="nil"/>
              <w:bottom w:val="single" w:color="auto" w:sz="12" w:space="0"/>
              <w:right w:val="single" w:color="auto" w:sz="4" w:space="0"/>
            </w:tcBorders>
            <w:vAlign w:val="center"/>
          </w:tcPr>
          <w:p>
            <w:pPr>
              <w:jc w:val="center"/>
              <w:rPr>
                <w:rFonts w:ascii="宋体" w:hAnsi="宋体"/>
                <w:color w:val="auto"/>
                <w:highlight w:val="none"/>
              </w:rPr>
            </w:pPr>
            <w:r>
              <w:rPr>
                <w:rFonts w:hint="eastAsia" w:ascii="宋体" w:hAnsi="宋体" w:cs="宋体"/>
                <w:color w:val="auto"/>
                <w:highlight w:val="none"/>
              </w:rPr>
              <w:t>建安工程造价</w:t>
            </w:r>
          </w:p>
        </w:tc>
        <w:tc>
          <w:tcPr>
            <w:tcW w:w="826" w:type="dxa"/>
            <w:tcBorders>
              <w:top w:val="single" w:color="auto" w:sz="4" w:space="0"/>
              <w:left w:val="nil"/>
              <w:bottom w:val="single" w:color="auto" w:sz="12"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12</w:t>
            </w:r>
          </w:p>
        </w:tc>
        <w:tc>
          <w:tcPr>
            <w:tcW w:w="890" w:type="dxa"/>
            <w:tcBorders>
              <w:top w:val="single" w:color="auto" w:sz="4" w:space="0"/>
              <w:left w:val="nil"/>
              <w:bottom w:val="single" w:color="auto" w:sz="12"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11</w:t>
            </w:r>
          </w:p>
        </w:tc>
        <w:tc>
          <w:tcPr>
            <w:tcW w:w="955" w:type="dxa"/>
            <w:tcBorders>
              <w:top w:val="single" w:color="auto" w:sz="4" w:space="0"/>
              <w:left w:val="nil"/>
              <w:bottom w:val="single" w:color="auto" w:sz="12"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10</w:t>
            </w:r>
          </w:p>
        </w:tc>
        <w:tc>
          <w:tcPr>
            <w:tcW w:w="1000" w:type="dxa"/>
            <w:tcBorders>
              <w:top w:val="single" w:color="auto" w:sz="4" w:space="0"/>
              <w:left w:val="nil"/>
              <w:bottom w:val="single" w:color="auto" w:sz="12"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9</w:t>
            </w:r>
          </w:p>
        </w:tc>
        <w:tc>
          <w:tcPr>
            <w:tcW w:w="1000" w:type="dxa"/>
            <w:tcBorders>
              <w:top w:val="single" w:color="auto" w:sz="4" w:space="0"/>
              <w:left w:val="nil"/>
              <w:bottom w:val="single" w:color="auto" w:sz="12"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7</w:t>
            </w:r>
          </w:p>
        </w:tc>
        <w:tc>
          <w:tcPr>
            <w:tcW w:w="930" w:type="dxa"/>
            <w:tcBorders>
              <w:top w:val="single" w:color="auto" w:sz="4" w:space="0"/>
              <w:left w:val="nil"/>
              <w:bottom w:val="single" w:color="auto" w:sz="12"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6</w:t>
            </w:r>
          </w:p>
        </w:tc>
        <w:tc>
          <w:tcPr>
            <w:tcW w:w="790" w:type="dxa"/>
            <w:tcBorders>
              <w:top w:val="single" w:color="auto" w:sz="4" w:space="0"/>
              <w:left w:val="nil"/>
              <w:bottom w:val="single" w:color="auto" w:sz="12" w:space="0"/>
              <w:right w:val="single" w:color="auto" w:sz="12" w:space="0"/>
            </w:tcBorders>
            <w:vAlign w:val="center"/>
          </w:tcPr>
          <w:p>
            <w:pPr>
              <w:jc w:val="center"/>
              <w:rPr>
                <w:rFonts w:ascii="宋体" w:hAnsi="宋体"/>
                <w:color w:val="auto"/>
                <w:highlight w:val="none"/>
              </w:rPr>
            </w:pPr>
            <w:r>
              <w:rPr>
                <w:rFonts w:ascii="宋体" w:hAnsi="宋体" w:cs="宋体"/>
                <w:color w:val="auto"/>
                <w:highlight w:val="none"/>
              </w:rPr>
              <w:t>5</w:t>
            </w:r>
          </w:p>
        </w:tc>
      </w:tr>
    </w:tbl>
    <w:p>
      <w:pPr>
        <w:adjustRightInd w:val="0"/>
        <w:snapToGrid w:val="0"/>
        <w:jc w:val="left"/>
        <w:rPr>
          <w:rFonts w:ascii="宋体" w:hAnsi="宋体"/>
          <w:color w:val="auto"/>
          <w:highlight w:val="none"/>
        </w:rPr>
      </w:pPr>
      <w:r>
        <w:rPr>
          <w:rFonts w:hint="eastAsia" w:ascii="宋体" w:hAnsi="宋体" w:cs="宋体"/>
          <w:color w:val="auto"/>
          <w:highlight w:val="none"/>
        </w:rPr>
        <w:t>按分档累进结算，并按招标文件的约定调整投标基准价</w:t>
      </w:r>
    </w:p>
    <w:p>
      <w:pPr>
        <w:rPr>
          <w:rFonts w:ascii="宋体" w:hAnsi="宋体"/>
          <w:b/>
          <w:bCs/>
          <w:color w:val="auto"/>
          <w:sz w:val="30"/>
          <w:szCs w:val="30"/>
          <w:highlight w:val="none"/>
        </w:rPr>
      </w:pPr>
    </w:p>
    <w:p>
      <w:pPr>
        <w:rPr>
          <w:rFonts w:ascii="宋体" w:hAnsi="宋体"/>
          <w:b/>
          <w:bCs/>
          <w:color w:val="auto"/>
          <w:sz w:val="30"/>
          <w:szCs w:val="30"/>
          <w:highlight w:val="none"/>
        </w:rPr>
      </w:pPr>
    </w:p>
    <w:p>
      <w:pPr>
        <w:rPr>
          <w:rFonts w:ascii="宋体" w:hAnsi="宋体"/>
          <w:b/>
          <w:bCs/>
          <w:color w:val="auto"/>
          <w:sz w:val="30"/>
          <w:szCs w:val="30"/>
          <w:highlight w:val="none"/>
        </w:rPr>
      </w:pPr>
    </w:p>
    <w:p>
      <w:pPr>
        <w:rPr>
          <w:rFonts w:ascii="宋体" w:hAnsi="宋体"/>
          <w:b/>
          <w:bCs/>
          <w:color w:val="auto"/>
          <w:sz w:val="30"/>
          <w:szCs w:val="30"/>
          <w:highlight w:val="none"/>
        </w:rPr>
      </w:pPr>
    </w:p>
    <w:p>
      <w:pPr>
        <w:rPr>
          <w:rFonts w:ascii="宋体" w:hAnsi="宋体"/>
          <w:b/>
          <w:bCs/>
          <w:color w:val="auto"/>
          <w:sz w:val="30"/>
          <w:szCs w:val="30"/>
          <w:highlight w:val="none"/>
        </w:rPr>
      </w:pPr>
    </w:p>
    <w:p>
      <w:pPr>
        <w:rPr>
          <w:rFonts w:ascii="宋体" w:hAnsi="宋体"/>
          <w:b/>
          <w:bCs/>
          <w:color w:val="auto"/>
          <w:sz w:val="30"/>
          <w:szCs w:val="30"/>
          <w:highlight w:val="none"/>
        </w:rPr>
      </w:pPr>
    </w:p>
    <w:p>
      <w:pPr>
        <w:rPr>
          <w:rFonts w:ascii="宋体" w:hAnsi="宋体"/>
          <w:b/>
          <w:bCs/>
          <w:color w:val="auto"/>
          <w:sz w:val="30"/>
          <w:szCs w:val="30"/>
          <w:highlight w:val="none"/>
        </w:rPr>
      </w:pPr>
    </w:p>
    <w:p>
      <w:pPr>
        <w:rPr>
          <w:rFonts w:ascii="宋体" w:hAnsi="宋体"/>
          <w:b/>
          <w:bCs/>
          <w:color w:val="auto"/>
          <w:sz w:val="30"/>
          <w:szCs w:val="30"/>
          <w:highlight w:val="none"/>
        </w:rPr>
      </w:pPr>
    </w:p>
    <w:p>
      <w:pPr>
        <w:rPr>
          <w:rFonts w:ascii="宋体" w:hAnsi="宋体"/>
          <w:b/>
          <w:bCs/>
          <w:color w:val="auto"/>
          <w:sz w:val="30"/>
          <w:szCs w:val="30"/>
          <w:highlight w:val="none"/>
        </w:rPr>
      </w:pPr>
    </w:p>
    <w:p>
      <w:pPr>
        <w:rPr>
          <w:rFonts w:ascii="宋体" w:hAnsi="宋体"/>
          <w:b/>
          <w:bCs/>
          <w:color w:val="auto"/>
          <w:sz w:val="30"/>
          <w:szCs w:val="30"/>
          <w:highlight w:val="none"/>
        </w:rPr>
      </w:pPr>
    </w:p>
    <w:p>
      <w:pPr>
        <w:rPr>
          <w:rFonts w:ascii="宋体" w:hAnsi="宋体"/>
          <w:b/>
          <w:bCs/>
          <w:color w:val="auto"/>
          <w:sz w:val="30"/>
          <w:szCs w:val="30"/>
          <w:highlight w:val="none"/>
        </w:rPr>
      </w:pPr>
    </w:p>
    <w:p>
      <w:pPr>
        <w:rPr>
          <w:rFonts w:ascii="宋体" w:hAnsi="宋体"/>
          <w:b/>
          <w:bCs/>
          <w:color w:val="auto"/>
          <w:sz w:val="30"/>
          <w:szCs w:val="30"/>
          <w:highlight w:val="none"/>
        </w:rPr>
      </w:pPr>
    </w:p>
    <w:p>
      <w:pPr>
        <w:rPr>
          <w:rFonts w:ascii="宋体" w:hAnsi="宋体"/>
          <w:b/>
          <w:bCs/>
          <w:color w:val="auto"/>
          <w:sz w:val="30"/>
          <w:szCs w:val="30"/>
          <w:highlight w:val="none"/>
        </w:rPr>
      </w:pPr>
    </w:p>
    <w:p>
      <w:pPr>
        <w:rPr>
          <w:rFonts w:ascii="宋体" w:hAnsi="宋体"/>
          <w:b/>
          <w:bCs/>
          <w:color w:val="auto"/>
          <w:sz w:val="30"/>
          <w:szCs w:val="30"/>
          <w:highlight w:val="none"/>
        </w:rPr>
      </w:pPr>
    </w:p>
    <w:p>
      <w:pPr>
        <w:rPr>
          <w:rFonts w:ascii="宋体" w:hAnsi="宋体"/>
          <w:b/>
          <w:bCs/>
          <w:color w:val="auto"/>
          <w:sz w:val="30"/>
          <w:szCs w:val="30"/>
          <w:highlight w:val="none"/>
        </w:rPr>
      </w:pPr>
    </w:p>
    <w:p>
      <w:pPr>
        <w:rPr>
          <w:rFonts w:ascii="宋体" w:hAnsi="宋体"/>
          <w:b/>
          <w:bCs/>
          <w:color w:val="auto"/>
          <w:sz w:val="30"/>
          <w:szCs w:val="30"/>
          <w:highlight w:val="none"/>
        </w:rPr>
      </w:pPr>
    </w:p>
    <w:p>
      <w:pPr>
        <w:rPr>
          <w:rFonts w:ascii="宋体" w:hAnsi="宋体"/>
          <w:b/>
          <w:bCs/>
          <w:color w:val="auto"/>
          <w:sz w:val="30"/>
          <w:szCs w:val="30"/>
          <w:highlight w:val="none"/>
        </w:rPr>
      </w:pPr>
    </w:p>
    <w:p>
      <w:pPr>
        <w:rPr>
          <w:rFonts w:ascii="宋体" w:hAnsi="宋体"/>
          <w:b/>
          <w:bCs/>
          <w:color w:val="auto"/>
          <w:sz w:val="30"/>
          <w:szCs w:val="30"/>
          <w:highlight w:val="none"/>
        </w:rPr>
      </w:pPr>
    </w:p>
    <w:p>
      <w:pPr>
        <w:rPr>
          <w:rFonts w:ascii="宋体" w:hAnsi="宋体"/>
          <w:b/>
          <w:bCs/>
          <w:color w:val="auto"/>
          <w:sz w:val="30"/>
          <w:szCs w:val="30"/>
          <w:highlight w:val="none"/>
        </w:rPr>
      </w:pPr>
    </w:p>
    <w:p>
      <w:pPr>
        <w:rPr>
          <w:rFonts w:ascii="宋体" w:hAnsi="宋体"/>
          <w:b/>
          <w:bCs/>
          <w:color w:val="auto"/>
          <w:sz w:val="30"/>
          <w:szCs w:val="30"/>
          <w:highlight w:val="none"/>
        </w:rPr>
      </w:pPr>
    </w:p>
    <w:p>
      <w:pPr>
        <w:rPr>
          <w:rFonts w:ascii="宋体" w:hAnsi="宋体"/>
          <w:b/>
          <w:bCs/>
          <w:color w:val="auto"/>
          <w:sz w:val="30"/>
          <w:szCs w:val="30"/>
          <w:highlight w:val="none"/>
        </w:rPr>
      </w:pPr>
    </w:p>
    <w:p>
      <w:pPr>
        <w:rPr>
          <w:rFonts w:ascii="宋体" w:hAnsi="宋体"/>
          <w:b/>
          <w:bCs/>
          <w:color w:val="auto"/>
          <w:sz w:val="30"/>
          <w:szCs w:val="30"/>
          <w:highlight w:val="none"/>
        </w:rPr>
      </w:pPr>
    </w:p>
    <w:p>
      <w:pPr>
        <w:rPr>
          <w:rFonts w:ascii="宋体" w:hAnsi="宋体"/>
          <w:b/>
          <w:bCs/>
          <w:color w:val="auto"/>
          <w:sz w:val="30"/>
          <w:szCs w:val="30"/>
          <w:highlight w:val="none"/>
        </w:rPr>
      </w:pPr>
    </w:p>
    <w:p>
      <w:pPr>
        <w:rPr>
          <w:rFonts w:ascii="宋体" w:hAnsi="宋体"/>
          <w:b/>
          <w:bCs/>
          <w:color w:val="auto"/>
          <w:sz w:val="30"/>
          <w:szCs w:val="30"/>
          <w:highlight w:val="none"/>
        </w:rPr>
      </w:pPr>
    </w:p>
    <w:p>
      <w:pPr>
        <w:rPr>
          <w:rFonts w:ascii="宋体" w:hAnsi="宋体"/>
          <w:b/>
          <w:bCs/>
          <w:color w:val="auto"/>
          <w:sz w:val="30"/>
          <w:szCs w:val="30"/>
          <w:highlight w:val="none"/>
        </w:rPr>
      </w:pPr>
    </w:p>
    <w:p>
      <w:pPr>
        <w:rPr>
          <w:rFonts w:ascii="宋体" w:hAnsi="宋体"/>
          <w:b/>
          <w:bCs/>
          <w:color w:val="auto"/>
          <w:sz w:val="30"/>
          <w:szCs w:val="30"/>
          <w:highlight w:val="none"/>
        </w:rPr>
      </w:pPr>
    </w:p>
    <w:p>
      <w:pPr>
        <w:rPr>
          <w:rFonts w:ascii="宋体" w:hAnsi="宋体"/>
          <w:b/>
          <w:bCs/>
          <w:color w:val="auto"/>
          <w:sz w:val="30"/>
          <w:szCs w:val="30"/>
          <w:highlight w:val="none"/>
        </w:rPr>
      </w:pPr>
    </w:p>
    <w:p>
      <w:pPr>
        <w:rPr>
          <w:rFonts w:ascii="宋体" w:hAnsi="宋体"/>
          <w:b/>
          <w:bCs/>
          <w:color w:val="auto"/>
          <w:sz w:val="30"/>
          <w:szCs w:val="30"/>
          <w:highlight w:val="none"/>
        </w:rPr>
      </w:pPr>
    </w:p>
    <w:p>
      <w:pPr>
        <w:rPr>
          <w:rFonts w:ascii="宋体" w:hAnsi="宋体"/>
          <w:b/>
          <w:bCs/>
          <w:color w:val="auto"/>
          <w:sz w:val="30"/>
          <w:szCs w:val="30"/>
          <w:highlight w:val="none"/>
        </w:rPr>
      </w:pPr>
    </w:p>
    <w:p>
      <w:pPr>
        <w:rPr>
          <w:rFonts w:ascii="宋体" w:hAnsi="宋体"/>
          <w:b/>
          <w:bCs/>
          <w:color w:val="auto"/>
          <w:sz w:val="30"/>
          <w:szCs w:val="30"/>
          <w:highlight w:val="none"/>
        </w:rPr>
      </w:pPr>
    </w:p>
    <w:p>
      <w:pPr>
        <w:numPr>
          <w:ilvl w:val="0"/>
          <w:numId w:val="4"/>
        </w:numPr>
        <w:spacing w:line="240" w:lineRule="auto"/>
        <w:jc w:val="center"/>
        <w:rPr>
          <w:rFonts w:ascii="宋体" w:hAnsi="宋体"/>
          <w:b/>
          <w:bCs/>
          <w:color w:val="auto"/>
          <w:sz w:val="30"/>
          <w:szCs w:val="30"/>
          <w:highlight w:val="none"/>
        </w:rPr>
      </w:pPr>
      <w:r>
        <w:rPr>
          <w:rFonts w:hint="eastAsia" w:ascii="宋体" w:hAnsi="宋体" w:cs="宋体"/>
          <w:b/>
          <w:bCs/>
          <w:color w:val="auto"/>
          <w:sz w:val="30"/>
          <w:szCs w:val="30"/>
          <w:highlight w:val="none"/>
        </w:rPr>
        <w:t>投标文件格式</w:t>
      </w:r>
    </w:p>
    <w:p>
      <w:pPr>
        <w:rPr>
          <w:rFonts w:ascii="宋体" w:hAnsi="宋体"/>
          <w:color w:val="auto"/>
          <w:sz w:val="28"/>
          <w:szCs w:val="28"/>
          <w:highlight w:val="none"/>
        </w:rPr>
      </w:pPr>
      <w:r>
        <w:rPr>
          <w:rFonts w:hint="eastAsia" w:ascii="宋体" w:hAnsi="宋体" w:cs="宋体"/>
          <w:color w:val="auto"/>
          <w:sz w:val="28"/>
          <w:szCs w:val="28"/>
          <w:highlight w:val="none"/>
        </w:rPr>
        <w:t>附件</w:t>
      </w:r>
      <w:r>
        <w:rPr>
          <w:rFonts w:ascii="宋体" w:hAnsi="宋体" w:cs="宋体"/>
          <w:color w:val="auto"/>
          <w:sz w:val="28"/>
          <w:szCs w:val="28"/>
          <w:highlight w:val="none"/>
        </w:rPr>
        <w:t>1</w:t>
      </w:r>
    </w:p>
    <w:p>
      <w:pPr>
        <w:jc w:val="center"/>
        <w:rPr>
          <w:rFonts w:ascii="宋体" w:hAnsi="宋体"/>
          <w:b/>
          <w:bCs/>
          <w:color w:val="auto"/>
          <w:sz w:val="32"/>
          <w:szCs w:val="32"/>
          <w:highlight w:val="none"/>
          <w:u w:val="single"/>
        </w:rPr>
      </w:pPr>
    </w:p>
    <w:p>
      <w:pPr>
        <w:jc w:val="center"/>
        <w:rPr>
          <w:rFonts w:ascii="宋体" w:hAnsi="宋体"/>
          <w:b/>
          <w:bCs/>
          <w:color w:val="auto"/>
          <w:sz w:val="32"/>
          <w:szCs w:val="32"/>
          <w:highlight w:val="none"/>
          <w:u w:val="single"/>
        </w:rPr>
      </w:pPr>
    </w:p>
    <w:p>
      <w:pPr>
        <w:jc w:val="center"/>
        <w:rPr>
          <w:rFonts w:ascii="宋体" w:hAnsi="宋体"/>
          <w:b/>
          <w:bCs/>
          <w:color w:val="auto"/>
          <w:spacing w:val="-4"/>
          <w:sz w:val="32"/>
          <w:szCs w:val="32"/>
          <w:highlight w:val="none"/>
        </w:rPr>
      </w:pPr>
      <w:r>
        <w:rPr>
          <w:rFonts w:hint="eastAsia" w:ascii="宋体" w:hAnsi="宋体" w:cs="宋体"/>
          <w:b/>
          <w:bCs/>
          <w:color w:val="auto"/>
          <w:sz w:val="32"/>
          <w:szCs w:val="32"/>
          <w:highlight w:val="none"/>
          <w:lang w:eastAsia="zh-CN"/>
        </w:rPr>
        <w:t>绍兴滨海新区配套人才房工程</w:t>
      </w:r>
      <w:r>
        <w:rPr>
          <w:rFonts w:hint="eastAsia" w:ascii="宋体" w:hAnsi="宋体" w:cs="宋体"/>
          <w:b/>
          <w:bCs/>
          <w:color w:val="auto"/>
          <w:sz w:val="32"/>
          <w:szCs w:val="32"/>
          <w:highlight w:val="none"/>
        </w:rPr>
        <w:t>招标代理（造价咨询）服务项目</w:t>
      </w:r>
    </w:p>
    <w:p>
      <w:pPr>
        <w:jc w:val="center"/>
        <w:rPr>
          <w:rFonts w:ascii="宋体" w:hAnsi="宋体"/>
          <w:color w:val="auto"/>
          <w:sz w:val="44"/>
          <w:szCs w:val="44"/>
          <w:highlight w:val="none"/>
        </w:rPr>
      </w:pPr>
    </w:p>
    <w:p>
      <w:pPr>
        <w:jc w:val="center"/>
        <w:rPr>
          <w:rFonts w:ascii="宋体" w:hAnsi="宋体"/>
          <w:color w:val="auto"/>
          <w:sz w:val="44"/>
          <w:szCs w:val="44"/>
          <w:highlight w:val="none"/>
        </w:rPr>
      </w:pPr>
    </w:p>
    <w:p>
      <w:pPr>
        <w:jc w:val="center"/>
        <w:rPr>
          <w:rFonts w:ascii="宋体" w:hAnsi="宋体"/>
          <w:color w:val="auto"/>
          <w:sz w:val="44"/>
          <w:szCs w:val="44"/>
          <w:highlight w:val="none"/>
        </w:rPr>
      </w:pPr>
    </w:p>
    <w:p>
      <w:pPr>
        <w:jc w:val="center"/>
        <w:rPr>
          <w:rFonts w:ascii="宋体" w:hAnsi="宋体"/>
          <w:b/>
          <w:bCs/>
          <w:color w:val="auto"/>
          <w:sz w:val="44"/>
          <w:szCs w:val="44"/>
          <w:highlight w:val="none"/>
        </w:rPr>
      </w:pPr>
      <w:r>
        <w:rPr>
          <w:rFonts w:hint="eastAsia" w:ascii="宋体" w:hAnsi="宋体" w:cs="宋体"/>
          <w:b/>
          <w:bCs/>
          <w:color w:val="auto"/>
          <w:sz w:val="44"/>
          <w:szCs w:val="44"/>
          <w:highlight w:val="none"/>
        </w:rPr>
        <w:t>投  标  文  件</w:t>
      </w:r>
    </w:p>
    <w:p>
      <w:pPr>
        <w:jc w:val="center"/>
        <w:rPr>
          <w:rFonts w:ascii="宋体" w:hAnsi="宋体"/>
          <w:color w:val="auto"/>
          <w:sz w:val="32"/>
          <w:szCs w:val="32"/>
          <w:highlight w:val="none"/>
        </w:rPr>
      </w:pPr>
    </w:p>
    <w:p>
      <w:pPr>
        <w:jc w:val="center"/>
        <w:rPr>
          <w:rFonts w:ascii="宋体" w:hAnsi="宋体"/>
          <w:color w:val="auto"/>
          <w:sz w:val="32"/>
          <w:szCs w:val="32"/>
          <w:highlight w:val="none"/>
        </w:rPr>
      </w:pPr>
    </w:p>
    <w:p>
      <w:pPr>
        <w:jc w:val="center"/>
        <w:rPr>
          <w:rFonts w:ascii="宋体" w:hAnsi="宋体"/>
          <w:color w:val="auto"/>
          <w:sz w:val="32"/>
          <w:szCs w:val="32"/>
          <w:highlight w:val="none"/>
        </w:rPr>
      </w:pPr>
    </w:p>
    <w:p>
      <w:pPr>
        <w:jc w:val="center"/>
        <w:rPr>
          <w:rFonts w:ascii="宋体" w:hAnsi="宋体"/>
          <w:color w:val="auto"/>
          <w:sz w:val="32"/>
          <w:szCs w:val="32"/>
          <w:highlight w:val="none"/>
        </w:rPr>
      </w:pPr>
    </w:p>
    <w:p>
      <w:pPr>
        <w:jc w:val="center"/>
        <w:rPr>
          <w:rFonts w:ascii="宋体" w:hAnsi="宋体"/>
          <w:color w:val="auto"/>
          <w:sz w:val="32"/>
          <w:szCs w:val="32"/>
          <w:highlight w:val="none"/>
        </w:rPr>
      </w:pPr>
    </w:p>
    <w:p>
      <w:pPr>
        <w:rPr>
          <w:rFonts w:ascii="宋体" w:hAnsi="宋体"/>
          <w:color w:val="auto"/>
          <w:sz w:val="32"/>
          <w:szCs w:val="32"/>
          <w:highlight w:val="none"/>
        </w:rPr>
      </w:pPr>
    </w:p>
    <w:p>
      <w:pPr>
        <w:spacing w:line="360" w:lineRule="auto"/>
        <w:jc w:val="center"/>
        <w:rPr>
          <w:rFonts w:ascii="宋体" w:hAnsi="宋体"/>
          <w:color w:val="auto"/>
          <w:sz w:val="28"/>
          <w:szCs w:val="28"/>
          <w:highlight w:val="none"/>
        </w:rPr>
      </w:pPr>
      <w:r>
        <w:rPr>
          <w:rFonts w:hint="eastAsia" w:ascii="宋体" w:hAnsi="宋体" w:cs="黑体"/>
          <w:color w:val="auto"/>
          <w:sz w:val="28"/>
          <w:szCs w:val="28"/>
          <w:highlight w:val="none"/>
        </w:rPr>
        <w:t>投标人：</w:t>
      </w:r>
      <w:r>
        <w:rPr>
          <w:rFonts w:hint="eastAsia" w:ascii="宋体" w:hAnsi="宋体" w:cs="黑体"/>
          <w:color w:val="auto"/>
          <w:sz w:val="28"/>
          <w:szCs w:val="28"/>
          <w:highlight w:val="none"/>
          <w:u w:val="single"/>
        </w:rPr>
        <w:t xml:space="preserve">                 </w:t>
      </w:r>
      <w:r>
        <w:rPr>
          <w:rFonts w:hint="eastAsia" w:ascii="宋体" w:hAnsi="宋体" w:cs="黑体"/>
          <w:color w:val="auto"/>
          <w:sz w:val="28"/>
          <w:szCs w:val="28"/>
          <w:highlight w:val="none"/>
        </w:rPr>
        <w:t>（盖单位电子公章）</w:t>
      </w:r>
    </w:p>
    <w:p>
      <w:pPr>
        <w:spacing w:line="360" w:lineRule="auto"/>
        <w:jc w:val="center"/>
        <w:rPr>
          <w:rFonts w:ascii="宋体" w:hAnsi="宋体"/>
          <w:color w:val="auto"/>
          <w:sz w:val="28"/>
          <w:szCs w:val="28"/>
          <w:highlight w:val="none"/>
        </w:rPr>
      </w:pPr>
      <w:r>
        <w:rPr>
          <w:rFonts w:hint="eastAsia" w:ascii="宋体" w:hAnsi="宋体" w:cs="黑体"/>
          <w:color w:val="auto"/>
          <w:sz w:val="28"/>
          <w:szCs w:val="28"/>
          <w:highlight w:val="none"/>
        </w:rPr>
        <w:t>法定代表人：</w:t>
      </w:r>
      <w:r>
        <w:rPr>
          <w:rFonts w:hint="eastAsia" w:ascii="宋体" w:hAnsi="宋体" w:cs="黑体"/>
          <w:color w:val="auto"/>
          <w:sz w:val="28"/>
          <w:szCs w:val="28"/>
          <w:highlight w:val="none"/>
          <w:u w:val="single"/>
        </w:rPr>
        <w:t xml:space="preserve">                     </w:t>
      </w:r>
      <w:r>
        <w:rPr>
          <w:rFonts w:hint="eastAsia" w:ascii="宋体" w:hAnsi="宋体" w:cs="黑体"/>
          <w:color w:val="auto"/>
          <w:sz w:val="28"/>
          <w:szCs w:val="28"/>
          <w:highlight w:val="none"/>
        </w:rPr>
        <w:t>（盖单位法定代表人电子章）</w:t>
      </w:r>
    </w:p>
    <w:p>
      <w:pPr>
        <w:jc w:val="center"/>
        <w:rPr>
          <w:rFonts w:ascii="宋体" w:hAnsi="宋体"/>
          <w:color w:val="auto"/>
          <w:sz w:val="28"/>
          <w:szCs w:val="28"/>
          <w:highlight w:val="none"/>
        </w:rPr>
      </w:pPr>
    </w:p>
    <w:p>
      <w:pPr>
        <w:jc w:val="center"/>
        <w:rPr>
          <w:rFonts w:ascii="宋体" w:hAnsi="宋体"/>
          <w:color w:val="auto"/>
          <w:sz w:val="28"/>
          <w:szCs w:val="28"/>
          <w:highlight w:val="none"/>
        </w:rPr>
      </w:pPr>
      <w:r>
        <w:rPr>
          <w:rFonts w:hint="eastAsia" w:ascii="宋体" w:hAnsi="宋体" w:cs="黑体"/>
          <w:color w:val="auto"/>
          <w:sz w:val="28"/>
          <w:szCs w:val="28"/>
          <w:highlight w:val="none"/>
        </w:rPr>
        <w:t>年   月  日</w:t>
      </w:r>
    </w:p>
    <w:p>
      <w:pPr>
        <w:spacing w:line="360" w:lineRule="auto"/>
        <w:rPr>
          <w:rFonts w:ascii="宋体" w:hAnsi="宋体"/>
          <w:color w:val="auto"/>
          <w:sz w:val="28"/>
          <w:szCs w:val="28"/>
          <w:highlight w:val="none"/>
        </w:rPr>
      </w:pPr>
      <w:r>
        <w:rPr>
          <w:rFonts w:ascii="宋体" w:hAnsi="宋体"/>
          <w:color w:val="auto"/>
          <w:sz w:val="28"/>
          <w:szCs w:val="28"/>
          <w:highlight w:val="none"/>
        </w:rPr>
        <w:br w:type="page"/>
      </w:r>
      <w:r>
        <w:rPr>
          <w:rFonts w:hint="eastAsia" w:ascii="宋体" w:hAnsi="宋体" w:cs="宋体"/>
          <w:color w:val="auto"/>
          <w:sz w:val="28"/>
          <w:szCs w:val="28"/>
          <w:highlight w:val="none"/>
        </w:rPr>
        <w:t>附件</w:t>
      </w:r>
      <w:r>
        <w:rPr>
          <w:rFonts w:ascii="宋体" w:hAnsi="宋体"/>
          <w:color w:val="auto"/>
          <w:sz w:val="28"/>
          <w:szCs w:val="28"/>
          <w:highlight w:val="none"/>
        </w:rPr>
        <w:t>2</w:t>
      </w:r>
    </w:p>
    <w:p>
      <w:pPr>
        <w:spacing w:line="520" w:lineRule="exact"/>
        <w:jc w:val="center"/>
        <w:rPr>
          <w:rFonts w:ascii="宋体" w:hAnsi="宋体"/>
          <w:b/>
          <w:bCs/>
          <w:color w:val="auto"/>
          <w:sz w:val="36"/>
          <w:szCs w:val="36"/>
          <w:highlight w:val="none"/>
        </w:rPr>
      </w:pPr>
      <w:r>
        <w:rPr>
          <w:rFonts w:hint="eastAsia" w:ascii="宋体" w:hAnsi="宋体" w:cs="宋体"/>
          <w:b/>
          <w:bCs/>
          <w:color w:val="auto"/>
          <w:sz w:val="36"/>
          <w:szCs w:val="36"/>
          <w:highlight w:val="none"/>
        </w:rPr>
        <w:t>投标函</w:t>
      </w:r>
    </w:p>
    <w:p>
      <w:pPr>
        <w:spacing w:line="300" w:lineRule="exact"/>
        <w:rPr>
          <w:rFonts w:ascii="宋体" w:hAnsi="宋体"/>
          <w:color w:val="auto"/>
          <w:sz w:val="28"/>
          <w:szCs w:val="28"/>
          <w:highlight w:val="none"/>
        </w:rPr>
      </w:pPr>
    </w:p>
    <w:p>
      <w:pPr>
        <w:spacing w:line="300" w:lineRule="exact"/>
        <w:rPr>
          <w:rFonts w:ascii="宋体" w:hAnsi="宋体"/>
          <w:color w:val="auto"/>
          <w:sz w:val="28"/>
          <w:szCs w:val="28"/>
          <w:highlight w:val="none"/>
        </w:rPr>
      </w:pPr>
    </w:p>
    <w:p>
      <w:pPr>
        <w:adjustRightInd w:val="0"/>
        <w:snapToGrid w:val="0"/>
        <w:spacing w:line="700" w:lineRule="exact"/>
        <w:jc w:val="left"/>
        <w:rPr>
          <w:rFonts w:ascii="宋体" w:hAnsi="宋体"/>
          <w:color w:val="auto"/>
          <w:sz w:val="24"/>
          <w:szCs w:val="24"/>
          <w:highlight w:val="none"/>
          <w:u w:val="single"/>
        </w:rPr>
      </w:pP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（招标人）：</w:t>
      </w:r>
    </w:p>
    <w:p>
      <w:pPr>
        <w:spacing w:line="700" w:lineRule="exact"/>
        <w:ind w:firstLine="480" w:firstLineChars="200"/>
        <w:rPr>
          <w:rFonts w:ascii="宋体" w:hAnsi="宋体"/>
          <w:color w:val="auto"/>
          <w:sz w:val="24"/>
          <w:szCs w:val="24"/>
          <w:highlight w:val="none"/>
        </w:rPr>
      </w:pPr>
      <w:r>
        <w:rPr>
          <w:rFonts w:ascii="宋体" w:hAnsi="宋体" w:cs="宋体"/>
          <w:color w:val="auto"/>
          <w:sz w:val="24"/>
          <w:szCs w:val="24"/>
          <w:highlight w:val="none"/>
        </w:rPr>
        <w:t>1</w:t>
      </w:r>
      <w:r>
        <w:rPr>
          <w:rFonts w:hint="eastAsia" w:ascii="宋体" w:hAnsi="宋体" w:cs="宋体"/>
          <w:color w:val="auto"/>
          <w:sz w:val="24"/>
          <w:szCs w:val="24"/>
          <w:highlight w:val="none"/>
        </w:rPr>
        <w:t>、根据已获得的</w:t>
      </w:r>
      <w:r>
        <w:rPr>
          <w:rFonts w:hint="eastAsia" w:ascii="宋体" w:hAnsi="宋体" w:cs="宋体"/>
          <w:color w:val="auto"/>
          <w:sz w:val="24"/>
          <w:szCs w:val="24"/>
          <w:highlight w:val="none"/>
          <w:u w:val="single"/>
          <w:lang w:eastAsia="zh-CN"/>
        </w:rPr>
        <w:t>绍兴滨海新区配套人才房工程</w:t>
      </w:r>
      <w:r>
        <w:rPr>
          <w:rFonts w:hint="eastAsia" w:ascii="宋体" w:hAnsi="宋体" w:cs="宋体"/>
          <w:color w:val="auto"/>
          <w:sz w:val="24"/>
          <w:szCs w:val="24"/>
          <w:highlight w:val="none"/>
          <w:u w:val="single"/>
        </w:rPr>
        <w:t>招标代理（造价咨询）</w:t>
      </w:r>
      <w:r>
        <w:rPr>
          <w:rFonts w:hint="eastAsia" w:ascii="宋体" w:hAnsi="宋体" w:cs="宋体"/>
          <w:color w:val="auto"/>
          <w:sz w:val="24"/>
          <w:szCs w:val="24"/>
          <w:highlight w:val="none"/>
        </w:rPr>
        <w:t>服务项目的招标文件，我方愿以招标文件约定的</w:t>
      </w:r>
      <w:r>
        <w:rPr>
          <w:rFonts w:hint="eastAsia" w:ascii="宋体" w:hAnsi="宋体" w:cs="宋体"/>
          <w:color w:val="auto"/>
          <w:kern w:val="0"/>
          <w:sz w:val="24"/>
          <w:szCs w:val="24"/>
          <w:highlight w:val="none"/>
        </w:rPr>
        <w:t>服务费计费基数标准及收费标准，并愿以服务费基准价浮动</w:t>
      </w:r>
      <w:r>
        <w:rPr>
          <w:rFonts w:hint="eastAsia" w:ascii="宋体" w:hAnsi="宋体" w:cs="宋体"/>
          <w:color w:val="auto"/>
          <w:kern w:val="0"/>
          <w:sz w:val="24"/>
          <w:szCs w:val="24"/>
          <w:highlight w:val="none"/>
          <w:u w:val="single"/>
        </w:rPr>
        <w:t xml:space="preserve">           </w:t>
      </w:r>
      <w:r>
        <w:rPr>
          <w:rFonts w:ascii="宋体" w:hAnsi="宋体" w:cs="宋体"/>
          <w:color w:val="auto"/>
          <w:sz w:val="24"/>
          <w:szCs w:val="24"/>
          <w:highlight w:val="none"/>
        </w:rPr>
        <w:t>%</w:t>
      </w:r>
      <w:r>
        <w:rPr>
          <w:rFonts w:hint="eastAsia" w:ascii="宋体" w:hAnsi="宋体" w:cs="宋体"/>
          <w:color w:val="auto"/>
          <w:sz w:val="24"/>
          <w:szCs w:val="24"/>
          <w:highlight w:val="none"/>
        </w:rPr>
        <w:t>（大写为百分之</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）的收费报价承接上述招标代理（造价咨询）委托业务。</w:t>
      </w:r>
    </w:p>
    <w:p>
      <w:pPr>
        <w:spacing w:line="700" w:lineRule="exact"/>
        <w:ind w:firstLine="480" w:firstLineChars="200"/>
        <w:rPr>
          <w:rFonts w:ascii="宋体" w:hAnsi="宋体"/>
          <w:color w:val="auto"/>
          <w:sz w:val="24"/>
          <w:szCs w:val="24"/>
          <w:highlight w:val="none"/>
        </w:rPr>
      </w:pPr>
      <w:r>
        <w:rPr>
          <w:rFonts w:ascii="宋体" w:hAnsi="宋体" w:cs="宋体"/>
          <w:color w:val="auto"/>
          <w:sz w:val="24"/>
          <w:szCs w:val="24"/>
          <w:highlight w:val="none"/>
        </w:rPr>
        <w:t>2</w:t>
      </w:r>
      <w:r>
        <w:rPr>
          <w:rFonts w:hint="eastAsia" w:ascii="宋体" w:hAnsi="宋体" w:cs="宋体"/>
          <w:color w:val="auto"/>
          <w:sz w:val="24"/>
          <w:szCs w:val="24"/>
          <w:highlight w:val="none"/>
        </w:rPr>
        <w:t>、我方同意所递交的投标文件在规定的投标有效期内有效，在此期间内我方的投标有可能中标，我方将受此约束。</w:t>
      </w:r>
    </w:p>
    <w:p>
      <w:pPr>
        <w:spacing w:line="700" w:lineRule="exact"/>
        <w:ind w:firstLine="480" w:firstLineChars="200"/>
        <w:rPr>
          <w:rFonts w:ascii="宋体" w:hAnsi="宋体"/>
          <w:color w:val="auto"/>
          <w:sz w:val="24"/>
          <w:szCs w:val="24"/>
          <w:highlight w:val="none"/>
        </w:rPr>
      </w:pPr>
      <w:r>
        <w:rPr>
          <w:rFonts w:ascii="宋体" w:hAnsi="宋体" w:cs="宋体"/>
          <w:color w:val="auto"/>
          <w:sz w:val="24"/>
          <w:szCs w:val="24"/>
          <w:highlight w:val="none"/>
        </w:rPr>
        <w:t>3</w:t>
      </w:r>
      <w:r>
        <w:rPr>
          <w:rFonts w:hint="eastAsia" w:ascii="宋体" w:hAnsi="宋体" w:cs="宋体"/>
          <w:color w:val="auto"/>
          <w:sz w:val="24"/>
          <w:szCs w:val="24"/>
          <w:highlight w:val="none"/>
        </w:rPr>
        <w:t>、你方的中标通知书和本投标文件将构成约束我们双方的合同。</w:t>
      </w:r>
    </w:p>
    <w:p>
      <w:pPr>
        <w:ind w:firstLine="480" w:firstLineChars="200"/>
        <w:rPr>
          <w:rFonts w:ascii="宋体" w:hAnsi="宋体"/>
          <w:color w:val="auto"/>
          <w:sz w:val="24"/>
          <w:szCs w:val="24"/>
          <w:highlight w:val="none"/>
        </w:rPr>
      </w:pPr>
    </w:p>
    <w:p>
      <w:pPr>
        <w:ind w:firstLine="480" w:firstLineChars="200"/>
        <w:rPr>
          <w:rFonts w:ascii="宋体" w:hAnsi="宋体"/>
          <w:color w:val="auto"/>
          <w:sz w:val="24"/>
          <w:szCs w:val="24"/>
          <w:highlight w:val="none"/>
        </w:rPr>
      </w:pPr>
    </w:p>
    <w:p>
      <w:pPr>
        <w:ind w:firstLine="480" w:firstLineChars="200"/>
        <w:rPr>
          <w:rFonts w:ascii="宋体" w:hAnsi="宋体"/>
          <w:color w:val="auto"/>
          <w:sz w:val="24"/>
          <w:szCs w:val="24"/>
          <w:highlight w:val="none"/>
        </w:rPr>
      </w:pPr>
    </w:p>
    <w:p>
      <w:pPr>
        <w:ind w:firstLine="480" w:firstLineChars="200"/>
        <w:rPr>
          <w:rFonts w:ascii="宋体" w:hAnsi="宋体"/>
          <w:color w:val="auto"/>
          <w:sz w:val="24"/>
          <w:szCs w:val="24"/>
          <w:highlight w:val="none"/>
        </w:rPr>
      </w:pPr>
      <w:r>
        <w:rPr>
          <w:rFonts w:hint="eastAsia" w:ascii="宋体" w:hAnsi="宋体" w:cs="宋体"/>
          <w:color w:val="auto"/>
          <w:sz w:val="24"/>
          <w:szCs w:val="24"/>
          <w:highlight w:val="none"/>
        </w:rPr>
        <w:t>投标人：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（盖单位电子公章） </w:t>
      </w:r>
    </w:p>
    <w:p>
      <w:pPr>
        <w:ind w:firstLine="480" w:firstLineChars="200"/>
        <w:rPr>
          <w:rFonts w:ascii="宋体" w:hAnsi="宋体"/>
          <w:color w:val="auto"/>
          <w:sz w:val="24"/>
          <w:szCs w:val="24"/>
          <w:highlight w:val="none"/>
        </w:rPr>
      </w:pPr>
    </w:p>
    <w:p>
      <w:pPr>
        <w:ind w:firstLine="480" w:firstLineChars="200"/>
        <w:rPr>
          <w:rFonts w:ascii="宋体" w:hAnsi="宋体"/>
          <w:color w:val="auto"/>
          <w:sz w:val="24"/>
          <w:szCs w:val="24"/>
          <w:highlight w:val="none"/>
        </w:rPr>
      </w:pPr>
    </w:p>
    <w:p>
      <w:pPr>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法定代表人：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（盖单位法定代表人电子章） </w:t>
      </w:r>
    </w:p>
    <w:p>
      <w:pPr>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  </w:t>
      </w:r>
    </w:p>
    <w:p>
      <w:pPr>
        <w:rPr>
          <w:rFonts w:ascii="宋体" w:hAnsi="宋体"/>
          <w:color w:val="auto"/>
          <w:sz w:val="24"/>
          <w:szCs w:val="24"/>
          <w:highlight w:val="none"/>
        </w:rPr>
      </w:pPr>
    </w:p>
    <w:p>
      <w:pPr>
        <w:rPr>
          <w:rFonts w:ascii="宋体" w:hAnsi="宋体"/>
          <w:color w:val="auto"/>
          <w:sz w:val="24"/>
          <w:szCs w:val="24"/>
          <w:highlight w:val="none"/>
        </w:rPr>
      </w:pPr>
    </w:p>
    <w:p>
      <w:pPr>
        <w:ind w:firstLine="480" w:firstLineChars="200"/>
        <w:rPr>
          <w:rFonts w:ascii="宋体" w:hAnsi="宋体"/>
          <w:color w:val="auto"/>
          <w:sz w:val="24"/>
          <w:szCs w:val="24"/>
          <w:highlight w:val="none"/>
          <w:u w:val="single"/>
        </w:rPr>
      </w:pPr>
      <w:r>
        <w:rPr>
          <w:rFonts w:hint="eastAsia" w:ascii="宋体" w:hAnsi="宋体" w:cs="宋体"/>
          <w:color w:val="auto"/>
          <w:sz w:val="24"/>
          <w:szCs w:val="24"/>
          <w:highlight w:val="none"/>
        </w:rPr>
        <w:t>年  月  日</w:t>
      </w:r>
    </w:p>
    <w:p>
      <w:pPr>
        <w:rPr>
          <w:rFonts w:ascii="宋体" w:hAnsi="宋体"/>
          <w:color w:val="auto"/>
          <w:highlight w:val="none"/>
        </w:rPr>
      </w:pPr>
    </w:p>
    <w:p>
      <w:pPr>
        <w:rPr>
          <w:rFonts w:ascii="宋体" w:hAnsi="宋体"/>
          <w:color w:val="auto"/>
          <w:highlight w:val="none"/>
        </w:rPr>
      </w:pPr>
    </w:p>
    <w:p>
      <w:pPr>
        <w:rPr>
          <w:rFonts w:ascii="宋体" w:hAnsi="宋体"/>
          <w:color w:val="auto"/>
          <w:sz w:val="28"/>
          <w:szCs w:val="28"/>
          <w:highlight w:val="none"/>
        </w:rPr>
      </w:pPr>
      <w:r>
        <w:rPr>
          <w:rFonts w:hint="eastAsia" w:ascii="宋体" w:hAnsi="宋体" w:cs="宋体"/>
          <w:color w:val="auto"/>
          <w:sz w:val="28"/>
          <w:szCs w:val="28"/>
          <w:highlight w:val="none"/>
        </w:rPr>
        <w:br w:type="page"/>
      </w:r>
      <w:r>
        <w:rPr>
          <w:rFonts w:hint="eastAsia" w:ascii="宋体" w:hAnsi="宋体" w:cs="宋体"/>
          <w:color w:val="auto"/>
          <w:sz w:val="28"/>
          <w:szCs w:val="28"/>
          <w:highlight w:val="none"/>
        </w:rPr>
        <w:t>附件</w:t>
      </w:r>
      <w:r>
        <w:rPr>
          <w:rFonts w:ascii="宋体" w:hAnsi="宋体"/>
          <w:color w:val="auto"/>
          <w:sz w:val="28"/>
          <w:szCs w:val="28"/>
          <w:highlight w:val="none"/>
        </w:rPr>
        <w:t>3</w:t>
      </w:r>
    </w:p>
    <w:p>
      <w:pPr>
        <w:spacing w:beforeLines="100" w:afterLines="50"/>
        <w:jc w:val="center"/>
        <w:rPr>
          <w:rFonts w:ascii="宋体" w:hAnsi="宋体"/>
          <w:b/>
          <w:bCs/>
          <w:color w:val="auto"/>
          <w:sz w:val="36"/>
          <w:szCs w:val="36"/>
          <w:highlight w:val="none"/>
        </w:rPr>
      </w:pPr>
      <w:r>
        <w:rPr>
          <w:rFonts w:hint="eastAsia" w:ascii="宋体" w:hAnsi="宋体" w:cs="宋体"/>
          <w:b/>
          <w:bCs/>
          <w:color w:val="auto"/>
          <w:sz w:val="36"/>
          <w:szCs w:val="36"/>
          <w:highlight w:val="none"/>
        </w:rPr>
        <w:t>法定代表人身份证明</w:t>
      </w:r>
    </w:p>
    <w:p>
      <w:pPr>
        <w:spacing w:beforeLines="100" w:afterLines="50"/>
        <w:jc w:val="center"/>
        <w:rPr>
          <w:rFonts w:ascii="宋体" w:hAnsi="宋体"/>
          <w:b/>
          <w:bCs/>
          <w:color w:val="auto"/>
          <w:sz w:val="36"/>
          <w:szCs w:val="36"/>
          <w:highlight w:val="none"/>
        </w:rPr>
      </w:pPr>
    </w:p>
    <w:p>
      <w:pPr>
        <w:spacing w:line="660" w:lineRule="exact"/>
        <w:rPr>
          <w:rFonts w:ascii="宋体" w:hAnsi="宋体"/>
          <w:color w:val="auto"/>
          <w:sz w:val="24"/>
          <w:szCs w:val="24"/>
          <w:highlight w:val="none"/>
          <w:u w:val="single"/>
        </w:rPr>
      </w:pPr>
      <w:r>
        <w:rPr>
          <w:rFonts w:hint="eastAsia" w:ascii="宋体" w:hAnsi="宋体" w:cs="宋体"/>
          <w:color w:val="auto"/>
          <w:sz w:val="24"/>
          <w:szCs w:val="24"/>
          <w:highlight w:val="none"/>
        </w:rPr>
        <w:t>投标人：</w:t>
      </w:r>
      <w:r>
        <w:rPr>
          <w:rFonts w:hint="eastAsia" w:ascii="宋体" w:hAnsi="宋体" w:cs="宋体"/>
          <w:color w:val="auto"/>
          <w:sz w:val="24"/>
          <w:szCs w:val="24"/>
          <w:highlight w:val="none"/>
          <w:u w:val="single"/>
        </w:rPr>
        <w:t xml:space="preserve">                                              </w:t>
      </w:r>
    </w:p>
    <w:p>
      <w:pPr>
        <w:spacing w:line="660" w:lineRule="exact"/>
        <w:rPr>
          <w:rFonts w:ascii="宋体" w:hAnsi="宋体"/>
          <w:color w:val="auto"/>
          <w:sz w:val="24"/>
          <w:szCs w:val="24"/>
          <w:highlight w:val="none"/>
          <w:u w:val="single"/>
        </w:rPr>
      </w:pPr>
      <w:r>
        <w:rPr>
          <w:rFonts w:hint="eastAsia" w:ascii="宋体" w:hAnsi="宋体" w:cs="宋体"/>
          <w:color w:val="auto"/>
          <w:sz w:val="24"/>
          <w:szCs w:val="24"/>
          <w:highlight w:val="none"/>
        </w:rPr>
        <w:t>单位性质：</w:t>
      </w:r>
      <w:r>
        <w:rPr>
          <w:rFonts w:hint="eastAsia" w:ascii="宋体" w:hAnsi="宋体" w:cs="宋体"/>
          <w:color w:val="auto"/>
          <w:sz w:val="24"/>
          <w:szCs w:val="24"/>
          <w:highlight w:val="none"/>
          <w:u w:val="single"/>
        </w:rPr>
        <w:t xml:space="preserve">                                            </w:t>
      </w:r>
    </w:p>
    <w:p>
      <w:pPr>
        <w:spacing w:line="660" w:lineRule="exact"/>
        <w:rPr>
          <w:rFonts w:ascii="宋体" w:hAnsi="宋体"/>
          <w:color w:val="auto"/>
          <w:sz w:val="24"/>
          <w:szCs w:val="24"/>
          <w:highlight w:val="none"/>
          <w:u w:val="single"/>
        </w:rPr>
      </w:pPr>
      <w:r>
        <w:rPr>
          <w:rFonts w:hint="eastAsia" w:ascii="宋体" w:hAnsi="宋体" w:cs="宋体"/>
          <w:color w:val="auto"/>
          <w:sz w:val="24"/>
          <w:szCs w:val="24"/>
          <w:highlight w:val="none"/>
        </w:rPr>
        <w:t>地址：</w:t>
      </w:r>
      <w:r>
        <w:rPr>
          <w:rFonts w:hint="eastAsia" w:ascii="宋体" w:hAnsi="宋体" w:cs="宋体"/>
          <w:color w:val="auto"/>
          <w:sz w:val="24"/>
          <w:szCs w:val="24"/>
          <w:highlight w:val="none"/>
          <w:u w:val="single"/>
        </w:rPr>
        <w:t xml:space="preserve">                                                </w:t>
      </w:r>
    </w:p>
    <w:p>
      <w:pPr>
        <w:spacing w:line="660" w:lineRule="exact"/>
        <w:rPr>
          <w:rFonts w:ascii="宋体" w:hAnsi="宋体"/>
          <w:color w:val="auto"/>
          <w:sz w:val="24"/>
          <w:szCs w:val="24"/>
          <w:highlight w:val="none"/>
        </w:rPr>
      </w:pPr>
      <w:r>
        <w:rPr>
          <w:rFonts w:hint="eastAsia" w:ascii="宋体" w:hAnsi="宋体" w:cs="宋体"/>
          <w:color w:val="auto"/>
          <w:sz w:val="24"/>
          <w:szCs w:val="24"/>
          <w:highlight w:val="none"/>
        </w:rPr>
        <w:t>成立时间：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日</w:t>
      </w:r>
    </w:p>
    <w:p>
      <w:pPr>
        <w:spacing w:line="660" w:lineRule="exact"/>
        <w:rPr>
          <w:rFonts w:ascii="宋体" w:hAnsi="宋体"/>
          <w:color w:val="auto"/>
          <w:sz w:val="24"/>
          <w:szCs w:val="24"/>
          <w:highlight w:val="none"/>
          <w:u w:val="single"/>
        </w:rPr>
      </w:pPr>
      <w:r>
        <w:rPr>
          <w:rFonts w:hint="eastAsia" w:ascii="宋体" w:hAnsi="宋体" w:cs="宋体"/>
          <w:color w:val="auto"/>
          <w:sz w:val="24"/>
          <w:szCs w:val="24"/>
          <w:highlight w:val="none"/>
        </w:rPr>
        <w:t>经营期限：</w:t>
      </w:r>
      <w:r>
        <w:rPr>
          <w:rFonts w:hint="eastAsia" w:ascii="宋体" w:hAnsi="宋体" w:cs="宋体"/>
          <w:color w:val="auto"/>
          <w:sz w:val="24"/>
          <w:szCs w:val="24"/>
          <w:highlight w:val="none"/>
          <w:u w:val="single"/>
        </w:rPr>
        <w:t xml:space="preserve">                                             </w:t>
      </w:r>
    </w:p>
    <w:p>
      <w:pPr>
        <w:spacing w:line="660" w:lineRule="exact"/>
        <w:rPr>
          <w:rFonts w:ascii="宋体" w:hAnsi="宋体"/>
          <w:color w:val="auto"/>
          <w:sz w:val="24"/>
          <w:szCs w:val="24"/>
          <w:highlight w:val="none"/>
          <w:u w:val="single"/>
        </w:rPr>
      </w:pPr>
      <w:r>
        <w:rPr>
          <w:rFonts w:hint="eastAsia" w:ascii="宋体" w:hAnsi="宋体" w:cs="宋体"/>
          <w:color w:val="auto"/>
          <w:sz w:val="24"/>
          <w:szCs w:val="24"/>
          <w:highlight w:val="none"/>
        </w:rPr>
        <w:t>姓名：</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性别：</w:t>
      </w:r>
      <w:r>
        <w:rPr>
          <w:rFonts w:hint="eastAsia" w:ascii="宋体" w:hAnsi="宋体" w:cs="宋体"/>
          <w:color w:val="auto"/>
          <w:sz w:val="24"/>
          <w:szCs w:val="24"/>
          <w:highlight w:val="none"/>
          <w:u w:val="single"/>
        </w:rPr>
        <w:t xml:space="preserve">                      </w:t>
      </w:r>
    </w:p>
    <w:p>
      <w:pPr>
        <w:spacing w:line="660" w:lineRule="exact"/>
        <w:rPr>
          <w:rFonts w:ascii="宋体" w:hAnsi="宋体"/>
          <w:color w:val="auto"/>
          <w:sz w:val="24"/>
          <w:szCs w:val="24"/>
          <w:highlight w:val="none"/>
          <w:u w:val="single"/>
        </w:rPr>
      </w:pPr>
      <w:r>
        <w:rPr>
          <w:rFonts w:hint="eastAsia" w:ascii="宋体" w:hAnsi="宋体" w:cs="宋体"/>
          <w:color w:val="auto"/>
          <w:sz w:val="24"/>
          <w:szCs w:val="24"/>
          <w:highlight w:val="none"/>
        </w:rPr>
        <w:t>年龄：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职务：</w:t>
      </w:r>
      <w:r>
        <w:rPr>
          <w:rFonts w:hint="eastAsia" w:ascii="宋体" w:hAnsi="宋体" w:cs="宋体"/>
          <w:color w:val="auto"/>
          <w:sz w:val="24"/>
          <w:szCs w:val="24"/>
          <w:highlight w:val="none"/>
          <w:u w:val="single"/>
        </w:rPr>
        <w:t xml:space="preserve">                  </w:t>
      </w:r>
    </w:p>
    <w:p>
      <w:pPr>
        <w:spacing w:line="660" w:lineRule="exact"/>
        <w:rPr>
          <w:rFonts w:ascii="宋体" w:hAnsi="宋体"/>
          <w:color w:val="auto"/>
          <w:sz w:val="24"/>
          <w:szCs w:val="24"/>
          <w:highlight w:val="none"/>
        </w:rPr>
      </w:pPr>
      <w:r>
        <w:rPr>
          <w:rFonts w:hint="eastAsia" w:ascii="宋体" w:hAnsi="宋体" w:cs="宋体"/>
          <w:color w:val="auto"/>
          <w:sz w:val="24"/>
          <w:szCs w:val="24"/>
          <w:highlight w:val="none"/>
        </w:rPr>
        <w:t>系</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（投标人名称）的法定代表人。</w:t>
      </w:r>
    </w:p>
    <w:p>
      <w:pPr>
        <w:spacing w:line="660" w:lineRule="exact"/>
        <w:ind w:firstLine="480" w:firstLineChars="200"/>
        <w:rPr>
          <w:rFonts w:ascii="宋体" w:hAnsi="宋体"/>
          <w:color w:val="auto"/>
          <w:sz w:val="24"/>
          <w:szCs w:val="24"/>
          <w:highlight w:val="none"/>
        </w:rPr>
      </w:pPr>
      <w:r>
        <w:rPr>
          <w:rFonts w:hint="eastAsia" w:ascii="宋体" w:hAnsi="宋体" w:cs="宋体"/>
          <w:color w:val="auto"/>
          <w:sz w:val="24"/>
          <w:szCs w:val="24"/>
          <w:highlight w:val="none"/>
        </w:rPr>
        <w:t>特此证明。</w:t>
      </w:r>
    </w:p>
    <w:p>
      <w:pPr>
        <w:spacing w:line="500" w:lineRule="exact"/>
        <w:rPr>
          <w:rFonts w:ascii="宋体" w:hAnsi="宋体"/>
          <w:color w:val="auto"/>
          <w:sz w:val="24"/>
          <w:szCs w:val="24"/>
          <w:highlight w:val="none"/>
        </w:rPr>
      </w:pPr>
    </w:p>
    <w:p>
      <w:pPr>
        <w:spacing w:line="500" w:lineRule="exact"/>
        <w:rPr>
          <w:rFonts w:ascii="宋体" w:hAnsi="宋体"/>
          <w:color w:val="auto"/>
          <w:sz w:val="24"/>
          <w:szCs w:val="24"/>
          <w:highlight w:val="none"/>
        </w:rPr>
      </w:pPr>
    </w:p>
    <w:p>
      <w:pPr>
        <w:wordWrap w:val="0"/>
        <w:spacing w:line="500" w:lineRule="exact"/>
        <w:jc w:val="right"/>
        <w:rPr>
          <w:rFonts w:ascii="宋体" w:hAnsi="宋体"/>
          <w:color w:val="auto"/>
          <w:sz w:val="24"/>
          <w:szCs w:val="24"/>
          <w:highlight w:val="none"/>
        </w:rPr>
      </w:pPr>
      <w:r>
        <w:rPr>
          <w:rFonts w:hint="eastAsia" w:ascii="宋体" w:hAnsi="宋体" w:cs="宋体"/>
          <w:color w:val="auto"/>
          <w:sz w:val="24"/>
          <w:szCs w:val="24"/>
          <w:highlight w:val="none"/>
        </w:rPr>
        <w:t>投标人：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（盖单位电子公章）</w:t>
      </w:r>
    </w:p>
    <w:p>
      <w:pPr>
        <w:spacing w:line="500" w:lineRule="exact"/>
        <w:jc w:val="right"/>
        <w:rPr>
          <w:rFonts w:ascii="宋体" w:hAnsi="宋体"/>
          <w:color w:val="auto"/>
          <w:sz w:val="24"/>
          <w:szCs w:val="24"/>
          <w:highlight w:val="none"/>
        </w:rPr>
      </w:pPr>
    </w:p>
    <w:p>
      <w:pPr>
        <w:spacing w:line="500" w:lineRule="exact"/>
        <w:jc w:val="right"/>
        <w:rPr>
          <w:rFonts w:ascii="宋体" w:hAnsi="宋体"/>
          <w:color w:val="auto"/>
          <w:sz w:val="24"/>
          <w:szCs w:val="24"/>
          <w:highlight w:val="none"/>
        </w:rPr>
      </w:pPr>
    </w:p>
    <w:p>
      <w:pPr>
        <w:spacing w:line="500" w:lineRule="exact"/>
        <w:jc w:val="right"/>
        <w:rPr>
          <w:rFonts w:ascii="宋体" w:hAnsi="宋体"/>
          <w:color w:val="auto"/>
          <w:sz w:val="24"/>
          <w:szCs w:val="24"/>
          <w:highlight w:val="none"/>
        </w:rPr>
      </w:pPr>
    </w:p>
    <w:p>
      <w:pPr>
        <w:wordWrap w:val="0"/>
        <w:spacing w:line="500" w:lineRule="exact"/>
        <w:jc w:val="right"/>
        <w:rPr>
          <w:rFonts w:ascii="宋体" w:hAnsi="宋体"/>
          <w:color w:val="auto"/>
          <w:highlight w:val="none"/>
        </w:rPr>
      </w:pPr>
      <w:r>
        <w:rPr>
          <w:rFonts w:hint="eastAsia" w:ascii="宋体" w:hAnsi="宋体" w:cs="宋体"/>
          <w:color w:val="auto"/>
          <w:sz w:val="24"/>
          <w:szCs w:val="24"/>
          <w:highlight w:val="none"/>
        </w:rPr>
        <w:t>年  月  日</w:t>
      </w:r>
    </w:p>
    <w:p>
      <w:pPr>
        <w:spacing w:line="500" w:lineRule="exact"/>
        <w:jc w:val="right"/>
        <w:rPr>
          <w:rFonts w:ascii="宋体" w:hAnsi="宋体"/>
          <w:color w:val="auto"/>
          <w:sz w:val="24"/>
          <w:szCs w:val="24"/>
          <w:highlight w:val="none"/>
        </w:rPr>
      </w:pPr>
    </w:p>
    <w:p>
      <w:pPr>
        <w:spacing w:line="500" w:lineRule="exact"/>
        <w:jc w:val="right"/>
        <w:rPr>
          <w:rFonts w:ascii="宋体" w:hAnsi="宋体"/>
          <w:color w:val="auto"/>
          <w:highlight w:val="none"/>
        </w:rPr>
      </w:pPr>
    </w:p>
    <w:p>
      <w:pPr>
        <w:spacing w:beforeLines="100"/>
        <w:jc w:val="center"/>
        <w:rPr>
          <w:rFonts w:ascii="宋体" w:hAnsi="宋体"/>
          <w:b/>
          <w:bCs/>
          <w:color w:val="auto"/>
          <w:sz w:val="36"/>
          <w:szCs w:val="36"/>
          <w:highlight w:val="none"/>
        </w:rPr>
      </w:pPr>
      <w:r>
        <w:rPr>
          <w:rFonts w:ascii="宋体" w:hAnsi="宋体"/>
          <w:color w:val="auto"/>
          <w:highlight w:val="none"/>
        </w:rPr>
        <w:br w:type="page"/>
      </w:r>
      <w:r>
        <w:rPr>
          <w:rFonts w:hint="eastAsia" w:ascii="宋体" w:hAnsi="宋体" w:cs="宋体"/>
          <w:b/>
          <w:bCs/>
          <w:color w:val="auto"/>
          <w:sz w:val="36"/>
          <w:szCs w:val="36"/>
          <w:highlight w:val="none"/>
        </w:rPr>
        <w:t>授权委托书</w:t>
      </w:r>
    </w:p>
    <w:p>
      <w:pPr>
        <w:jc w:val="center"/>
        <w:rPr>
          <w:rFonts w:ascii="宋体" w:hAnsi="宋体"/>
          <w:color w:val="auto"/>
          <w:sz w:val="28"/>
          <w:szCs w:val="28"/>
          <w:highlight w:val="none"/>
        </w:rPr>
      </w:pPr>
    </w:p>
    <w:p>
      <w:pPr>
        <w:spacing w:line="700" w:lineRule="exact"/>
        <w:ind w:firstLine="480" w:firstLineChars="200"/>
        <w:rPr>
          <w:rFonts w:ascii="宋体" w:hAnsi="宋体"/>
          <w:color w:val="auto"/>
          <w:sz w:val="24"/>
          <w:szCs w:val="24"/>
          <w:highlight w:val="none"/>
        </w:rPr>
      </w:pPr>
      <w:r>
        <w:rPr>
          <w:rFonts w:hint="eastAsia" w:ascii="宋体" w:hAnsi="宋体" w:cs="宋体"/>
          <w:color w:val="auto"/>
          <w:sz w:val="24"/>
          <w:szCs w:val="24"/>
          <w:highlight w:val="none"/>
        </w:rPr>
        <w:t>本人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（姓名）系</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（投标人名称）的法定代表人，现委托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（姓名）为我方代理人。代理人根据授权，以我方名义签署、澄清、说明、补正、递交、撤回、修改</w:t>
      </w:r>
      <w:r>
        <w:rPr>
          <w:rFonts w:hint="eastAsia" w:ascii="宋体" w:hAnsi="宋体" w:cs="宋体"/>
          <w:color w:val="auto"/>
          <w:sz w:val="24"/>
          <w:szCs w:val="24"/>
          <w:highlight w:val="none"/>
          <w:u w:val="single"/>
          <w:lang w:eastAsia="zh-CN"/>
        </w:rPr>
        <w:t>绍兴滨海新区配套人才房工程</w:t>
      </w:r>
      <w:r>
        <w:rPr>
          <w:rFonts w:hint="eastAsia" w:ascii="宋体" w:hAnsi="宋体" w:cs="宋体"/>
          <w:color w:val="auto"/>
          <w:sz w:val="24"/>
          <w:szCs w:val="24"/>
          <w:highlight w:val="none"/>
          <w:u w:val="single"/>
        </w:rPr>
        <w:t>招标代理（造价咨询）</w:t>
      </w:r>
      <w:r>
        <w:rPr>
          <w:rFonts w:hint="eastAsia" w:ascii="宋体" w:hAnsi="宋体" w:cs="宋体"/>
          <w:color w:val="auto"/>
          <w:sz w:val="24"/>
          <w:szCs w:val="24"/>
          <w:highlight w:val="none"/>
        </w:rPr>
        <w:t>服务项目的投标文件、签订合同和处理有关事宜，其法律后果由我方承担。</w:t>
      </w:r>
    </w:p>
    <w:p>
      <w:pPr>
        <w:spacing w:beforeLines="50" w:line="700" w:lineRule="exact"/>
        <w:ind w:firstLine="480" w:firstLineChars="200"/>
        <w:rPr>
          <w:rFonts w:ascii="宋体" w:hAnsi="宋体"/>
          <w:color w:val="auto"/>
          <w:sz w:val="24"/>
          <w:szCs w:val="24"/>
          <w:highlight w:val="none"/>
          <w:u w:val="single"/>
        </w:rPr>
      </w:pPr>
      <w:r>
        <w:rPr>
          <w:rFonts w:hint="eastAsia" w:ascii="宋体" w:hAnsi="宋体" w:cs="宋体"/>
          <w:color w:val="auto"/>
          <w:sz w:val="24"/>
          <w:szCs w:val="24"/>
          <w:highlight w:val="none"/>
        </w:rPr>
        <w:t>委托期限：</w:t>
      </w:r>
      <w:r>
        <w:rPr>
          <w:rFonts w:hint="eastAsia" w:ascii="宋体" w:hAnsi="宋体" w:cs="宋体"/>
          <w:color w:val="auto"/>
          <w:sz w:val="24"/>
          <w:szCs w:val="24"/>
          <w:highlight w:val="none"/>
          <w:u w:val="single"/>
        </w:rPr>
        <w:t xml:space="preserve">                         。</w:t>
      </w:r>
    </w:p>
    <w:p>
      <w:pPr>
        <w:spacing w:beforeLines="100" w:afterLines="100" w:line="500" w:lineRule="exact"/>
        <w:ind w:firstLine="480" w:firstLineChars="200"/>
        <w:rPr>
          <w:rFonts w:ascii="宋体" w:hAnsi="宋体"/>
          <w:color w:val="auto"/>
          <w:sz w:val="24"/>
          <w:szCs w:val="24"/>
          <w:highlight w:val="none"/>
        </w:rPr>
      </w:pPr>
      <w:r>
        <w:rPr>
          <w:rFonts w:hint="eastAsia" w:ascii="宋体" w:hAnsi="宋体" w:cs="宋体"/>
          <w:color w:val="auto"/>
          <w:sz w:val="24"/>
          <w:szCs w:val="24"/>
          <w:highlight w:val="none"/>
        </w:rPr>
        <w:t>代理人无转委托权。</w:t>
      </w:r>
    </w:p>
    <w:p>
      <w:pPr>
        <w:spacing w:afterLines="100" w:line="500" w:lineRule="exact"/>
        <w:ind w:firstLine="480" w:firstLineChars="200"/>
        <w:rPr>
          <w:rFonts w:ascii="宋体" w:hAnsi="宋体"/>
          <w:color w:val="auto"/>
          <w:sz w:val="24"/>
          <w:szCs w:val="24"/>
          <w:highlight w:val="none"/>
        </w:rPr>
      </w:pPr>
      <w:r>
        <w:rPr>
          <w:rFonts w:hint="eastAsia" w:ascii="宋体" w:hAnsi="宋体" w:cs="宋体"/>
          <w:color w:val="auto"/>
          <w:sz w:val="24"/>
          <w:szCs w:val="24"/>
          <w:highlight w:val="none"/>
        </w:rPr>
        <w:t>附：法定代表人身份证明</w:t>
      </w:r>
    </w:p>
    <w:p>
      <w:pPr>
        <w:spacing w:line="400" w:lineRule="exact"/>
        <w:rPr>
          <w:rFonts w:ascii="宋体" w:hAnsi="宋体"/>
          <w:color w:val="auto"/>
          <w:sz w:val="24"/>
          <w:szCs w:val="24"/>
          <w:highlight w:val="none"/>
        </w:rPr>
      </w:pPr>
      <w:r>
        <w:rPr>
          <w:rFonts w:hint="eastAsia" w:ascii="宋体" w:hAnsi="宋体" w:cs="宋体"/>
          <w:color w:val="auto"/>
          <w:sz w:val="24"/>
          <w:szCs w:val="24"/>
          <w:highlight w:val="none"/>
        </w:rPr>
        <w:t>投标人：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r>
        <w:rPr>
          <w:rFonts w:hint="eastAsia" w:ascii="宋体" w:hAnsi="宋体" w:cs="黑体"/>
          <w:color w:val="auto"/>
          <w:sz w:val="24"/>
          <w:szCs w:val="24"/>
          <w:highlight w:val="none"/>
        </w:rPr>
        <w:t>盖单位电子公章</w:t>
      </w:r>
      <w:r>
        <w:rPr>
          <w:rFonts w:hint="eastAsia" w:ascii="宋体" w:hAnsi="宋体" w:cs="宋体"/>
          <w:color w:val="auto"/>
          <w:sz w:val="24"/>
          <w:szCs w:val="24"/>
          <w:highlight w:val="none"/>
        </w:rPr>
        <w:t>）</w:t>
      </w:r>
    </w:p>
    <w:p>
      <w:pPr>
        <w:spacing w:line="400" w:lineRule="exact"/>
        <w:ind w:firstLine="4080" w:firstLineChars="1700"/>
        <w:rPr>
          <w:rFonts w:ascii="宋体" w:hAnsi="宋体"/>
          <w:color w:val="auto"/>
          <w:sz w:val="24"/>
          <w:szCs w:val="24"/>
          <w:highlight w:val="none"/>
        </w:rPr>
      </w:pPr>
    </w:p>
    <w:p>
      <w:pPr>
        <w:spacing w:line="400" w:lineRule="exact"/>
        <w:rPr>
          <w:rFonts w:ascii="宋体" w:hAnsi="宋体"/>
          <w:color w:val="auto"/>
          <w:sz w:val="24"/>
          <w:szCs w:val="24"/>
          <w:highlight w:val="none"/>
        </w:rPr>
      </w:pPr>
      <w:r>
        <w:rPr>
          <w:rFonts w:hint="eastAsia" w:ascii="宋体" w:hAnsi="宋体" w:cs="宋体"/>
          <w:color w:val="auto"/>
          <w:sz w:val="24"/>
          <w:szCs w:val="24"/>
          <w:highlight w:val="none"/>
        </w:rPr>
        <w:t>法定代表人：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r>
        <w:rPr>
          <w:rFonts w:hint="eastAsia" w:ascii="宋体" w:hAnsi="宋体" w:cs="黑体"/>
          <w:color w:val="auto"/>
          <w:sz w:val="24"/>
          <w:szCs w:val="24"/>
          <w:highlight w:val="none"/>
        </w:rPr>
        <w:t>盖单位法定代表人电子章</w:t>
      </w:r>
      <w:r>
        <w:rPr>
          <w:rFonts w:hint="eastAsia" w:ascii="宋体" w:hAnsi="宋体" w:cs="宋体"/>
          <w:color w:val="auto"/>
          <w:sz w:val="24"/>
          <w:szCs w:val="24"/>
          <w:highlight w:val="none"/>
        </w:rPr>
        <w:t>）</w:t>
      </w:r>
    </w:p>
    <w:p>
      <w:pPr>
        <w:spacing w:line="400" w:lineRule="exact"/>
        <w:ind w:firstLine="4080" w:firstLineChars="1700"/>
        <w:rPr>
          <w:rFonts w:ascii="宋体" w:hAnsi="宋体"/>
          <w:color w:val="auto"/>
          <w:sz w:val="24"/>
          <w:szCs w:val="24"/>
          <w:highlight w:val="none"/>
        </w:rPr>
      </w:pPr>
    </w:p>
    <w:p>
      <w:pPr>
        <w:spacing w:line="400" w:lineRule="exact"/>
        <w:rPr>
          <w:rFonts w:ascii="宋体" w:hAnsi="宋体"/>
          <w:color w:val="auto"/>
          <w:sz w:val="24"/>
          <w:szCs w:val="24"/>
          <w:highlight w:val="none"/>
          <w:u w:val="single"/>
        </w:rPr>
      </w:pPr>
      <w:r>
        <w:rPr>
          <w:rFonts w:hint="eastAsia" w:ascii="宋体" w:hAnsi="宋体" w:cs="宋体"/>
          <w:color w:val="auto"/>
          <w:sz w:val="24"/>
          <w:szCs w:val="24"/>
          <w:highlight w:val="none"/>
        </w:rPr>
        <w:t>身份证号码：</w:t>
      </w:r>
      <w:r>
        <w:rPr>
          <w:rFonts w:hint="eastAsia" w:ascii="宋体" w:hAnsi="宋体" w:cs="宋体"/>
          <w:color w:val="auto"/>
          <w:sz w:val="24"/>
          <w:szCs w:val="24"/>
          <w:highlight w:val="none"/>
          <w:u w:val="single"/>
        </w:rPr>
        <w:t xml:space="preserve">                                          </w:t>
      </w:r>
    </w:p>
    <w:p>
      <w:pPr>
        <w:spacing w:line="400" w:lineRule="exact"/>
        <w:ind w:firstLine="4080" w:firstLineChars="1700"/>
        <w:rPr>
          <w:rFonts w:ascii="宋体" w:hAnsi="宋体"/>
          <w:color w:val="auto"/>
          <w:sz w:val="24"/>
          <w:szCs w:val="24"/>
          <w:highlight w:val="none"/>
          <w:u w:val="single"/>
        </w:rPr>
      </w:pPr>
    </w:p>
    <w:p>
      <w:pPr>
        <w:spacing w:line="400" w:lineRule="exact"/>
        <w:rPr>
          <w:rFonts w:ascii="宋体" w:hAnsi="宋体"/>
          <w:color w:val="auto"/>
          <w:sz w:val="24"/>
          <w:szCs w:val="24"/>
          <w:highlight w:val="none"/>
        </w:rPr>
      </w:pPr>
      <w:r>
        <w:rPr>
          <w:rFonts w:hint="eastAsia" w:ascii="宋体" w:hAnsi="宋体" w:cs="宋体"/>
          <w:color w:val="auto"/>
          <w:sz w:val="24"/>
          <w:szCs w:val="24"/>
          <w:highlight w:val="none"/>
        </w:rPr>
        <w:t>委托代理人：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（签字或盖章）</w:t>
      </w:r>
    </w:p>
    <w:p>
      <w:pPr>
        <w:spacing w:line="400" w:lineRule="exact"/>
        <w:ind w:firstLine="4080" w:firstLineChars="1700"/>
        <w:rPr>
          <w:rFonts w:ascii="宋体" w:hAnsi="宋体"/>
          <w:color w:val="auto"/>
          <w:sz w:val="24"/>
          <w:szCs w:val="24"/>
          <w:highlight w:val="none"/>
        </w:rPr>
      </w:pPr>
    </w:p>
    <w:p>
      <w:pPr>
        <w:spacing w:line="400" w:lineRule="exact"/>
        <w:rPr>
          <w:rFonts w:ascii="宋体" w:hAnsi="宋体"/>
          <w:color w:val="auto"/>
          <w:sz w:val="24"/>
          <w:szCs w:val="24"/>
          <w:highlight w:val="none"/>
          <w:u w:val="single"/>
        </w:rPr>
      </w:pPr>
      <w:r>
        <w:rPr>
          <w:rFonts w:hint="eastAsia" w:ascii="宋体" w:hAnsi="宋体" w:cs="宋体"/>
          <w:color w:val="auto"/>
          <w:sz w:val="24"/>
          <w:szCs w:val="24"/>
          <w:highlight w:val="none"/>
        </w:rPr>
        <w:t>身份证号码：</w:t>
      </w:r>
      <w:r>
        <w:rPr>
          <w:rFonts w:hint="eastAsia" w:ascii="宋体" w:hAnsi="宋体" w:cs="宋体"/>
          <w:color w:val="auto"/>
          <w:sz w:val="24"/>
          <w:szCs w:val="24"/>
          <w:highlight w:val="none"/>
          <w:u w:val="single"/>
        </w:rPr>
        <w:t xml:space="preserve">                                          </w:t>
      </w:r>
    </w:p>
    <w:p>
      <w:pPr>
        <w:spacing w:line="400" w:lineRule="exact"/>
        <w:ind w:firstLine="4080" w:firstLineChars="1700"/>
        <w:rPr>
          <w:rFonts w:ascii="宋体" w:hAnsi="宋体"/>
          <w:color w:val="auto"/>
          <w:sz w:val="24"/>
          <w:szCs w:val="24"/>
          <w:highlight w:val="none"/>
        </w:rPr>
      </w:pPr>
    </w:p>
    <w:p>
      <w:pPr>
        <w:spacing w:line="400" w:lineRule="exact"/>
        <w:ind w:firstLine="2040" w:firstLineChars="850"/>
        <w:rPr>
          <w:rFonts w:ascii="宋体" w:hAnsi="宋体" w:cs="宋体"/>
          <w:color w:val="auto"/>
          <w:sz w:val="24"/>
          <w:szCs w:val="24"/>
          <w:highlight w:val="none"/>
        </w:rPr>
      </w:pPr>
      <w:r>
        <w:rPr>
          <w:rFonts w:hint="eastAsia" w:ascii="宋体" w:hAnsi="宋体" w:cs="宋体"/>
          <w:color w:val="auto"/>
          <w:sz w:val="24"/>
          <w:szCs w:val="24"/>
          <w:highlight w:val="none"/>
        </w:rPr>
        <w:t>年  月  日</w:t>
      </w:r>
    </w:p>
    <w:p>
      <w:pPr>
        <w:spacing w:line="400" w:lineRule="exact"/>
        <w:ind w:firstLine="2040" w:firstLineChars="850"/>
        <w:rPr>
          <w:rFonts w:ascii="宋体" w:hAnsi="宋体" w:cs="宋体"/>
          <w:color w:val="auto"/>
          <w:sz w:val="24"/>
          <w:szCs w:val="24"/>
          <w:highlight w:val="none"/>
        </w:rPr>
      </w:pPr>
    </w:p>
    <w:p>
      <w:pPr>
        <w:rPr>
          <w:rFonts w:ascii="宋体" w:hAnsi="宋体"/>
          <w:color w:val="auto"/>
          <w:sz w:val="24"/>
          <w:szCs w:val="24"/>
          <w:highlight w:val="none"/>
        </w:rPr>
      </w:pPr>
      <w:r>
        <w:rPr>
          <w:rFonts w:hint="eastAsia" w:ascii="宋体" w:hAnsi="宋体"/>
          <w:color w:val="auto"/>
          <w:sz w:val="24"/>
          <w:szCs w:val="24"/>
          <w:highlight w:val="none"/>
        </w:rPr>
        <w:t xml:space="preserve">备注：电子投标项目“授权委托书”制作要求：按要求填写内容和委托代理人签字或盖章后进行电子扫描，在电子扫描件上加盖投标人电子公章和法定代表人电子印章。 </w:t>
      </w:r>
      <w:r>
        <w:rPr>
          <w:rFonts w:ascii="宋体" w:hAnsi="宋体"/>
          <w:color w:val="auto"/>
          <w:sz w:val="24"/>
          <w:szCs w:val="24"/>
          <w:highlight w:val="none"/>
        </w:rPr>
        <w:br w:type="page"/>
      </w:r>
      <w:r>
        <w:rPr>
          <w:rFonts w:hint="eastAsia" w:ascii="宋体" w:hAnsi="宋体" w:cs="宋体"/>
          <w:color w:val="auto"/>
          <w:sz w:val="28"/>
          <w:szCs w:val="28"/>
          <w:highlight w:val="none"/>
        </w:rPr>
        <w:t>附件4</w:t>
      </w:r>
    </w:p>
    <w:p>
      <w:pPr>
        <w:jc w:val="center"/>
        <w:rPr>
          <w:rFonts w:ascii="宋体" w:hAnsi="宋体"/>
          <w:b/>
          <w:bCs/>
          <w:color w:val="auto"/>
          <w:sz w:val="36"/>
          <w:szCs w:val="36"/>
          <w:highlight w:val="none"/>
        </w:rPr>
      </w:pPr>
      <w:r>
        <w:rPr>
          <w:rFonts w:hint="eastAsia" w:ascii="宋体" w:hAnsi="宋体" w:cs="宋体"/>
          <w:b/>
          <w:bCs/>
          <w:color w:val="auto"/>
          <w:sz w:val="36"/>
          <w:szCs w:val="36"/>
          <w:highlight w:val="none"/>
        </w:rPr>
        <w:t>承诺书</w:t>
      </w:r>
    </w:p>
    <w:p>
      <w:pPr>
        <w:adjustRightInd w:val="0"/>
        <w:snapToGrid w:val="0"/>
        <w:spacing w:line="400" w:lineRule="exact"/>
        <w:jc w:val="left"/>
        <w:rPr>
          <w:rFonts w:ascii="宋体" w:hAnsi="宋体"/>
          <w:color w:val="auto"/>
          <w:sz w:val="24"/>
          <w:szCs w:val="24"/>
          <w:highlight w:val="none"/>
          <w:u w:val="single"/>
        </w:rPr>
      </w:pP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（招标人）：</w:t>
      </w:r>
    </w:p>
    <w:p>
      <w:pPr>
        <w:adjustRightInd w:val="0"/>
        <w:snapToGrid w:val="0"/>
        <w:spacing w:line="400" w:lineRule="exact"/>
        <w:ind w:firstLine="480" w:firstLineChars="200"/>
        <w:jc w:val="left"/>
        <w:rPr>
          <w:rFonts w:ascii="宋体" w:hAnsi="宋体"/>
          <w:color w:val="auto"/>
          <w:sz w:val="24"/>
          <w:szCs w:val="24"/>
          <w:highlight w:val="none"/>
        </w:rPr>
      </w:pPr>
      <w:r>
        <w:rPr>
          <w:rFonts w:hint="eastAsia" w:ascii="宋体" w:hAnsi="宋体" w:cs="宋体"/>
          <w:color w:val="auto"/>
          <w:sz w:val="24"/>
          <w:szCs w:val="24"/>
          <w:highlight w:val="none"/>
        </w:rPr>
        <w:t>本公司承诺如下：</w:t>
      </w:r>
    </w:p>
    <w:p>
      <w:pPr>
        <w:adjustRightInd w:val="0"/>
        <w:snapToGrid w:val="0"/>
        <w:spacing w:line="400" w:lineRule="exact"/>
        <w:ind w:firstLine="480" w:firstLineChars="200"/>
        <w:jc w:val="left"/>
        <w:rPr>
          <w:rFonts w:ascii="宋体" w:hAnsi="宋体"/>
          <w:color w:val="auto"/>
          <w:sz w:val="24"/>
          <w:szCs w:val="24"/>
          <w:highlight w:val="none"/>
        </w:rPr>
      </w:pPr>
      <w:r>
        <w:rPr>
          <w:rFonts w:hint="eastAsia" w:ascii="宋体" w:hAnsi="宋体" w:cs="宋体"/>
          <w:color w:val="auto"/>
          <w:sz w:val="24"/>
          <w:szCs w:val="24"/>
          <w:highlight w:val="none"/>
        </w:rPr>
        <w:t>本单位自愿参加</w:t>
      </w:r>
      <w:r>
        <w:rPr>
          <w:rFonts w:hint="eastAsia" w:ascii="宋体" w:hAnsi="宋体" w:cs="宋体"/>
          <w:color w:val="auto"/>
          <w:sz w:val="24"/>
          <w:szCs w:val="24"/>
          <w:highlight w:val="none"/>
          <w:u w:val="single"/>
          <w:lang w:eastAsia="zh-CN"/>
        </w:rPr>
        <w:t>绍兴滨海新区配套人才房工程</w:t>
      </w:r>
      <w:r>
        <w:rPr>
          <w:rFonts w:hint="eastAsia" w:ascii="宋体" w:hAnsi="宋体" w:cs="宋体"/>
          <w:color w:val="auto"/>
          <w:sz w:val="24"/>
          <w:szCs w:val="24"/>
          <w:highlight w:val="none"/>
          <w:u w:val="single"/>
        </w:rPr>
        <w:t>招标代理（造价咨询）</w:t>
      </w:r>
      <w:r>
        <w:rPr>
          <w:rFonts w:hint="eastAsia" w:ascii="宋体" w:hAnsi="宋体" w:cs="宋体"/>
          <w:color w:val="auto"/>
          <w:sz w:val="24"/>
          <w:szCs w:val="24"/>
          <w:highlight w:val="none"/>
        </w:rPr>
        <w:t>服务项目招标的投标，并保证投标文件中所列举的投标报价文件及相关资料和公司基本情况资料是真实的、有效的、合法的，并承诺：</w:t>
      </w:r>
    </w:p>
    <w:p>
      <w:pPr>
        <w:adjustRightInd w:val="0"/>
        <w:snapToGrid w:val="0"/>
        <w:spacing w:line="400" w:lineRule="exact"/>
        <w:ind w:firstLine="480" w:firstLineChars="200"/>
        <w:jc w:val="left"/>
        <w:rPr>
          <w:rFonts w:ascii="宋体" w:hAnsi="宋体"/>
          <w:color w:val="auto"/>
          <w:sz w:val="24"/>
          <w:szCs w:val="24"/>
          <w:highlight w:val="none"/>
        </w:rPr>
      </w:pPr>
      <w:r>
        <w:rPr>
          <w:rFonts w:ascii="宋体" w:hAnsi="宋体" w:cs="宋体"/>
          <w:color w:val="auto"/>
          <w:sz w:val="24"/>
          <w:szCs w:val="24"/>
          <w:highlight w:val="none"/>
        </w:rPr>
        <w:t>1</w:t>
      </w:r>
      <w:r>
        <w:rPr>
          <w:rFonts w:hint="eastAsia" w:ascii="宋体" w:hAnsi="宋体" w:cs="宋体"/>
          <w:color w:val="auto"/>
          <w:sz w:val="24"/>
          <w:szCs w:val="24"/>
          <w:highlight w:val="none"/>
        </w:rPr>
        <w:t>、同意招标文件中的有关规定。</w:t>
      </w:r>
    </w:p>
    <w:p>
      <w:pPr>
        <w:adjustRightInd w:val="0"/>
        <w:snapToGrid w:val="0"/>
        <w:spacing w:line="400" w:lineRule="exact"/>
        <w:ind w:firstLine="480" w:firstLineChars="200"/>
        <w:jc w:val="left"/>
        <w:rPr>
          <w:rFonts w:ascii="宋体" w:hAnsi="宋体"/>
          <w:color w:val="auto"/>
          <w:sz w:val="24"/>
          <w:szCs w:val="24"/>
          <w:highlight w:val="none"/>
        </w:rPr>
      </w:pPr>
      <w:r>
        <w:rPr>
          <w:rFonts w:ascii="宋体" w:hAnsi="宋体" w:cs="宋体"/>
          <w:color w:val="auto"/>
          <w:sz w:val="24"/>
          <w:szCs w:val="24"/>
          <w:highlight w:val="none"/>
        </w:rPr>
        <w:t>2</w:t>
      </w:r>
      <w:r>
        <w:rPr>
          <w:rFonts w:hint="eastAsia" w:ascii="宋体" w:hAnsi="宋体" w:cs="宋体"/>
          <w:color w:val="auto"/>
          <w:sz w:val="24"/>
          <w:szCs w:val="24"/>
          <w:highlight w:val="none"/>
        </w:rPr>
        <w:t>、同意提供按照贵方要求的与投标有关的一切数据、情况和资料等。</w:t>
      </w:r>
    </w:p>
    <w:p>
      <w:pPr>
        <w:spacing w:line="360" w:lineRule="exact"/>
        <w:ind w:firstLine="480" w:firstLineChars="200"/>
        <w:rPr>
          <w:rFonts w:ascii="宋体" w:hAnsi="宋体"/>
          <w:color w:val="auto"/>
          <w:sz w:val="24"/>
          <w:szCs w:val="24"/>
          <w:highlight w:val="none"/>
        </w:rPr>
      </w:pPr>
      <w:r>
        <w:rPr>
          <w:rFonts w:ascii="宋体" w:hAnsi="宋体" w:cs="宋体"/>
          <w:color w:val="auto"/>
          <w:sz w:val="24"/>
          <w:szCs w:val="24"/>
          <w:highlight w:val="none"/>
        </w:rPr>
        <w:t>3</w:t>
      </w:r>
      <w:r>
        <w:rPr>
          <w:rFonts w:hint="eastAsia" w:ascii="宋体" w:hAnsi="宋体" w:cs="宋体"/>
          <w:color w:val="auto"/>
          <w:sz w:val="24"/>
          <w:szCs w:val="24"/>
          <w:highlight w:val="none"/>
        </w:rPr>
        <w:t>、本单位如中标，保证按照投标文件的承诺与贵方签订</w:t>
      </w:r>
      <w:r>
        <w:rPr>
          <w:rFonts w:hint="eastAsia" w:ascii="宋体" w:hAnsi="宋体" w:cs="宋体"/>
          <w:color w:val="auto"/>
          <w:sz w:val="24"/>
          <w:szCs w:val="24"/>
          <w:highlight w:val="none"/>
          <w:u w:val="single"/>
        </w:rPr>
        <w:t>招标代理（造价咨询）</w:t>
      </w:r>
      <w:r>
        <w:rPr>
          <w:rFonts w:hint="eastAsia" w:ascii="宋体" w:hAnsi="宋体" w:cs="宋体"/>
          <w:color w:val="auto"/>
          <w:sz w:val="24"/>
          <w:szCs w:val="24"/>
          <w:highlight w:val="none"/>
        </w:rPr>
        <w:t>合同，保证履行合同条款。</w:t>
      </w:r>
    </w:p>
    <w:p>
      <w:pPr>
        <w:adjustRightInd w:val="0"/>
        <w:snapToGrid w:val="0"/>
        <w:spacing w:line="400" w:lineRule="exact"/>
        <w:ind w:firstLine="480" w:firstLineChars="200"/>
        <w:jc w:val="left"/>
        <w:rPr>
          <w:rFonts w:ascii="宋体" w:hAnsi="宋体"/>
          <w:color w:val="auto"/>
          <w:sz w:val="24"/>
          <w:szCs w:val="24"/>
          <w:highlight w:val="none"/>
        </w:rPr>
      </w:pPr>
      <w:r>
        <w:rPr>
          <w:rFonts w:ascii="宋体" w:hAnsi="宋体" w:cs="宋体"/>
          <w:color w:val="auto"/>
          <w:sz w:val="24"/>
          <w:szCs w:val="24"/>
          <w:highlight w:val="none"/>
        </w:rPr>
        <w:t>4</w:t>
      </w:r>
      <w:r>
        <w:rPr>
          <w:rFonts w:hint="eastAsia" w:ascii="宋体" w:hAnsi="宋体" w:cs="宋体"/>
          <w:color w:val="auto"/>
          <w:sz w:val="24"/>
          <w:szCs w:val="24"/>
          <w:highlight w:val="none"/>
        </w:rPr>
        <w:t>、</w:t>
      </w:r>
      <w:r>
        <w:rPr>
          <w:rFonts w:hint="eastAsia" w:ascii="宋体" w:hAnsi="宋体" w:cs="宋体"/>
          <w:color w:val="auto"/>
          <w:kern w:val="0"/>
          <w:sz w:val="24"/>
          <w:szCs w:val="24"/>
          <w:highlight w:val="none"/>
        </w:rPr>
        <w:t>本单位如中标，保证严格遵守</w:t>
      </w:r>
      <w:r>
        <w:rPr>
          <w:rFonts w:hint="eastAsia" w:ascii="宋体" w:hAnsi="宋体" w:cs="宋体"/>
          <w:color w:val="auto"/>
          <w:sz w:val="24"/>
          <w:szCs w:val="24"/>
          <w:highlight w:val="none"/>
        </w:rPr>
        <w:t>有关法律规定及政策</w:t>
      </w:r>
      <w:r>
        <w:rPr>
          <w:rFonts w:hint="eastAsia" w:ascii="宋体" w:hAnsi="宋体" w:cs="宋体"/>
          <w:color w:val="auto"/>
          <w:kern w:val="0"/>
          <w:sz w:val="24"/>
          <w:szCs w:val="24"/>
          <w:highlight w:val="none"/>
        </w:rPr>
        <w:t>，如有下列情形之一的，取消中标资格，愿意没收投标保证金</w:t>
      </w:r>
      <w:r>
        <w:rPr>
          <w:rFonts w:hint="eastAsia" w:ascii="宋体" w:hAnsi="宋体" w:cs="宋体"/>
          <w:color w:val="auto"/>
          <w:kern w:val="0"/>
          <w:sz w:val="24"/>
          <w:szCs w:val="24"/>
          <w:highlight w:val="none"/>
          <w:u w:val="single"/>
        </w:rPr>
        <w:t xml:space="preserve">  </w:t>
      </w:r>
      <w:r>
        <w:rPr>
          <w:rFonts w:hint="eastAsia" w:ascii="宋体" w:hAnsi="宋体" w:cs="宋体"/>
          <w:color w:val="auto"/>
          <w:kern w:val="0"/>
          <w:sz w:val="24"/>
          <w:szCs w:val="24"/>
          <w:highlight w:val="none"/>
          <w:u w:val="single"/>
          <w:lang w:eastAsia="zh-CN"/>
        </w:rPr>
        <w:t>叁</w:t>
      </w:r>
      <w:r>
        <w:rPr>
          <w:rFonts w:hint="eastAsia" w:ascii="宋体" w:hAnsi="宋体" w:cs="宋体"/>
          <w:color w:val="auto"/>
          <w:kern w:val="0"/>
          <w:sz w:val="24"/>
          <w:szCs w:val="24"/>
          <w:highlight w:val="none"/>
          <w:u w:val="single"/>
        </w:rPr>
        <w:t xml:space="preserve">万 </w:t>
      </w:r>
      <w:r>
        <w:rPr>
          <w:rFonts w:hint="eastAsia" w:ascii="宋体" w:hAnsi="宋体" w:cs="宋体"/>
          <w:color w:val="auto"/>
          <w:kern w:val="0"/>
          <w:sz w:val="24"/>
          <w:szCs w:val="24"/>
          <w:highlight w:val="none"/>
        </w:rPr>
        <w:t>元，并承担由此造成的一切经济和法律责任。</w:t>
      </w:r>
    </w:p>
    <w:p>
      <w:pPr>
        <w:adjustRightInd w:val="0"/>
        <w:snapToGrid w:val="0"/>
        <w:spacing w:line="400" w:lineRule="exact"/>
        <w:ind w:firstLine="480" w:firstLineChars="200"/>
        <w:jc w:val="left"/>
        <w:rPr>
          <w:rFonts w:ascii="宋体" w:hAnsi="宋体"/>
          <w:color w:val="auto"/>
          <w:sz w:val="24"/>
          <w:szCs w:val="24"/>
          <w:highlight w:val="none"/>
        </w:rPr>
      </w:pPr>
      <w:r>
        <w:rPr>
          <w:rFonts w:hint="eastAsia" w:ascii="宋体" w:hAnsi="宋体" w:cs="宋体"/>
          <w:color w:val="auto"/>
          <w:kern w:val="0"/>
          <w:sz w:val="24"/>
          <w:szCs w:val="24"/>
          <w:highlight w:val="none"/>
        </w:rPr>
        <w:t>（</w:t>
      </w:r>
      <w:r>
        <w:rPr>
          <w:rFonts w:ascii="宋体" w:hAnsi="宋体" w:cs="宋体"/>
          <w:color w:val="auto"/>
          <w:kern w:val="0"/>
          <w:sz w:val="24"/>
          <w:szCs w:val="24"/>
          <w:highlight w:val="none"/>
        </w:rPr>
        <w:t>1</w:t>
      </w:r>
      <w:r>
        <w:rPr>
          <w:rFonts w:hint="eastAsia" w:ascii="宋体" w:hAnsi="宋体" w:cs="宋体"/>
          <w:color w:val="auto"/>
          <w:kern w:val="0"/>
          <w:sz w:val="24"/>
          <w:szCs w:val="24"/>
          <w:highlight w:val="none"/>
        </w:rPr>
        <w:t>）提供虚假材料谋取中标；</w:t>
      </w:r>
    </w:p>
    <w:p>
      <w:pPr>
        <w:widowControl/>
        <w:adjustRightInd w:val="0"/>
        <w:snapToGrid w:val="0"/>
        <w:spacing w:line="400" w:lineRule="exact"/>
        <w:ind w:firstLine="480" w:firstLineChars="200"/>
        <w:jc w:val="left"/>
        <w:rPr>
          <w:rFonts w:ascii="宋体" w:hAnsi="宋体"/>
          <w:color w:val="auto"/>
          <w:kern w:val="0"/>
          <w:sz w:val="24"/>
          <w:szCs w:val="24"/>
          <w:highlight w:val="none"/>
        </w:rPr>
      </w:pPr>
      <w:r>
        <w:rPr>
          <w:rFonts w:hint="eastAsia" w:ascii="宋体" w:hAnsi="宋体" w:cs="宋体"/>
          <w:color w:val="auto"/>
          <w:kern w:val="0"/>
          <w:sz w:val="24"/>
          <w:szCs w:val="24"/>
          <w:highlight w:val="none"/>
        </w:rPr>
        <w:t>（</w:t>
      </w:r>
      <w:r>
        <w:rPr>
          <w:rFonts w:ascii="宋体" w:hAnsi="宋体" w:cs="宋体"/>
          <w:color w:val="auto"/>
          <w:kern w:val="0"/>
          <w:sz w:val="24"/>
          <w:szCs w:val="24"/>
          <w:highlight w:val="none"/>
        </w:rPr>
        <w:t>2</w:t>
      </w:r>
      <w:r>
        <w:rPr>
          <w:rFonts w:hint="eastAsia" w:ascii="宋体" w:hAnsi="宋体" w:cs="宋体"/>
          <w:color w:val="auto"/>
          <w:kern w:val="0"/>
          <w:sz w:val="24"/>
          <w:szCs w:val="24"/>
          <w:highlight w:val="none"/>
        </w:rPr>
        <w:t>）采取不正当手段诋毁、排挤其他投标人的；</w:t>
      </w:r>
    </w:p>
    <w:p>
      <w:pPr>
        <w:adjustRightInd w:val="0"/>
        <w:snapToGrid w:val="0"/>
        <w:spacing w:line="400" w:lineRule="exact"/>
        <w:ind w:firstLine="480" w:firstLineChars="200"/>
        <w:jc w:val="left"/>
        <w:rPr>
          <w:rFonts w:ascii="宋体" w:hAnsi="宋体"/>
          <w:color w:val="auto"/>
          <w:sz w:val="24"/>
          <w:szCs w:val="24"/>
          <w:highlight w:val="none"/>
        </w:rPr>
      </w:pPr>
      <w:r>
        <w:rPr>
          <w:rFonts w:hint="eastAsia" w:ascii="宋体" w:hAnsi="宋体" w:cs="宋体"/>
          <w:color w:val="auto"/>
          <w:kern w:val="0"/>
          <w:sz w:val="24"/>
          <w:szCs w:val="24"/>
          <w:highlight w:val="none"/>
        </w:rPr>
        <w:t>（</w:t>
      </w:r>
      <w:r>
        <w:rPr>
          <w:rFonts w:ascii="宋体" w:hAnsi="宋体" w:cs="宋体"/>
          <w:color w:val="auto"/>
          <w:kern w:val="0"/>
          <w:sz w:val="24"/>
          <w:szCs w:val="24"/>
          <w:highlight w:val="none"/>
        </w:rPr>
        <w:t>3</w:t>
      </w:r>
      <w:r>
        <w:rPr>
          <w:rFonts w:hint="eastAsia" w:ascii="宋体" w:hAnsi="宋体" w:cs="宋体"/>
          <w:color w:val="auto"/>
          <w:kern w:val="0"/>
          <w:sz w:val="24"/>
          <w:szCs w:val="24"/>
          <w:highlight w:val="none"/>
        </w:rPr>
        <w:t>）与其它投标人恶意串通的；</w:t>
      </w:r>
    </w:p>
    <w:p>
      <w:pPr>
        <w:adjustRightInd w:val="0"/>
        <w:snapToGrid w:val="0"/>
        <w:spacing w:line="400" w:lineRule="exact"/>
        <w:ind w:firstLine="480" w:firstLineChars="200"/>
        <w:jc w:val="left"/>
        <w:rPr>
          <w:rFonts w:ascii="宋体" w:hAnsi="宋体"/>
          <w:color w:val="auto"/>
          <w:sz w:val="24"/>
          <w:szCs w:val="24"/>
          <w:highlight w:val="none"/>
        </w:rPr>
      </w:pPr>
      <w:r>
        <w:rPr>
          <w:rFonts w:hint="eastAsia" w:ascii="宋体" w:hAnsi="宋体" w:cs="宋体"/>
          <w:color w:val="auto"/>
          <w:kern w:val="0"/>
          <w:sz w:val="24"/>
          <w:szCs w:val="24"/>
          <w:highlight w:val="none"/>
        </w:rPr>
        <w:t>（</w:t>
      </w:r>
      <w:r>
        <w:rPr>
          <w:rFonts w:ascii="宋体" w:hAnsi="宋体" w:cs="宋体"/>
          <w:color w:val="auto"/>
          <w:kern w:val="0"/>
          <w:sz w:val="24"/>
          <w:szCs w:val="24"/>
          <w:highlight w:val="none"/>
        </w:rPr>
        <w:t>4</w:t>
      </w:r>
      <w:r>
        <w:rPr>
          <w:rFonts w:hint="eastAsia" w:ascii="宋体" w:hAnsi="宋体" w:cs="宋体"/>
          <w:color w:val="auto"/>
          <w:kern w:val="0"/>
          <w:sz w:val="24"/>
          <w:szCs w:val="24"/>
          <w:highlight w:val="none"/>
        </w:rPr>
        <w:t>）向招标人行贿或者提供其他不正当利益的；</w:t>
      </w:r>
    </w:p>
    <w:p>
      <w:pPr>
        <w:widowControl/>
        <w:adjustRightInd w:val="0"/>
        <w:snapToGrid w:val="0"/>
        <w:spacing w:line="400" w:lineRule="exact"/>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w:t>
      </w:r>
      <w:r>
        <w:rPr>
          <w:rFonts w:ascii="宋体" w:hAnsi="宋体" w:cs="宋体"/>
          <w:color w:val="auto"/>
          <w:kern w:val="0"/>
          <w:sz w:val="24"/>
          <w:szCs w:val="24"/>
          <w:highlight w:val="none"/>
        </w:rPr>
        <w:t>5</w:t>
      </w:r>
      <w:r>
        <w:rPr>
          <w:rFonts w:hint="eastAsia" w:ascii="宋体" w:hAnsi="宋体" w:cs="宋体"/>
          <w:color w:val="auto"/>
          <w:kern w:val="0"/>
          <w:sz w:val="24"/>
          <w:szCs w:val="24"/>
          <w:highlight w:val="none"/>
        </w:rPr>
        <w:t>）拒绝有关部门监督检查或提供虚假情况的；</w:t>
      </w:r>
    </w:p>
    <w:p>
      <w:pPr>
        <w:widowControl/>
        <w:adjustRightInd w:val="0"/>
        <w:snapToGrid w:val="0"/>
        <w:spacing w:line="400" w:lineRule="exact"/>
        <w:ind w:firstLine="480" w:firstLineChars="200"/>
        <w:jc w:val="left"/>
        <w:rPr>
          <w:rFonts w:ascii="宋体" w:hAnsi="宋体"/>
          <w:color w:val="auto"/>
          <w:kern w:val="0"/>
          <w:sz w:val="24"/>
          <w:szCs w:val="24"/>
          <w:highlight w:val="none"/>
        </w:rPr>
      </w:pPr>
      <w:r>
        <w:rPr>
          <w:rFonts w:hint="eastAsia" w:ascii="宋体" w:hAnsi="宋体" w:cs="宋体"/>
          <w:color w:val="auto"/>
          <w:kern w:val="0"/>
          <w:sz w:val="24"/>
          <w:szCs w:val="24"/>
          <w:highlight w:val="none"/>
        </w:rPr>
        <w:t>（6）企业在近二年内（20</w:t>
      </w:r>
      <w:r>
        <w:rPr>
          <w:rFonts w:hint="eastAsia" w:ascii="宋体" w:hAnsi="宋体" w:cs="宋体"/>
          <w:color w:val="auto"/>
          <w:kern w:val="0"/>
          <w:sz w:val="24"/>
          <w:szCs w:val="24"/>
          <w:highlight w:val="none"/>
          <w:lang w:val="en-US" w:eastAsia="zh-CN"/>
        </w:rPr>
        <w:t>20</w:t>
      </w:r>
      <w:r>
        <w:rPr>
          <w:rFonts w:hint="eastAsia" w:ascii="宋体" w:hAnsi="宋体" w:cs="宋体"/>
          <w:color w:val="auto"/>
          <w:kern w:val="0"/>
          <w:sz w:val="24"/>
          <w:szCs w:val="24"/>
          <w:highlight w:val="none"/>
        </w:rPr>
        <w:t>年</w:t>
      </w:r>
      <w:r>
        <w:rPr>
          <w:rFonts w:hint="eastAsia" w:ascii="宋体" w:hAnsi="宋体" w:cs="宋体"/>
          <w:color w:val="auto"/>
          <w:kern w:val="0"/>
          <w:sz w:val="24"/>
          <w:szCs w:val="24"/>
          <w:highlight w:val="none"/>
          <w:lang w:val="en-US" w:eastAsia="zh-CN"/>
        </w:rPr>
        <w:t>7</w:t>
      </w:r>
      <w:r>
        <w:rPr>
          <w:rFonts w:hint="eastAsia" w:ascii="宋体" w:hAnsi="宋体" w:cs="宋体"/>
          <w:color w:val="auto"/>
          <w:kern w:val="0"/>
          <w:sz w:val="24"/>
          <w:szCs w:val="24"/>
          <w:highlight w:val="none"/>
        </w:rPr>
        <w:t>月至20</w:t>
      </w:r>
      <w:r>
        <w:rPr>
          <w:rFonts w:hint="eastAsia" w:ascii="宋体" w:hAnsi="宋体" w:cs="宋体"/>
          <w:color w:val="auto"/>
          <w:kern w:val="0"/>
          <w:sz w:val="24"/>
          <w:szCs w:val="24"/>
          <w:highlight w:val="none"/>
          <w:lang w:val="en-US" w:eastAsia="zh-CN"/>
        </w:rPr>
        <w:t>22</w:t>
      </w:r>
      <w:r>
        <w:rPr>
          <w:rFonts w:hint="eastAsia" w:ascii="宋体" w:hAnsi="宋体" w:cs="宋体"/>
          <w:color w:val="auto"/>
          <w:kern w:val="0"/>
          <w:sz w:val="24"/>
          <w:szCs w:val="24"/>
          <w:highlight w:val="none"/>
        </w:rPr>
        <w:t>年</w:t>
      </w:r>
      <w:r>
        <w:rPr>
          <w:rFonts w:hint="eastAsia" w:ascii="宋体" w:hAnsi="宋体" w:cs="宋体"/>
          <w:color w:val="auto"/>
          <w:kern w:val="0"/>
          <w:sz w:val="24"/>
          <w:szCs w:val="24"/>
          <w:highlight w:val="none"/>
          <w:lang w:val="en-US" w:eastAsia="zh-CN"/>
        </w:rPr>
        <w:t>7</w:t>
      </w:r>
      <w:r>
        <w:rPr>
          <w:rFonts w:hint="eastAsia" w:ascii="宋体" w:hAnsi="宋体" w:cs="宋体"/>
          <w:color w:val="auto"/>
          <w:kern w:val="0"/>
          <w:sz w:val="24"/>
          <w:szCs w:val="24"/>
          <w:highlight w:val="none"/>
        </w:rPr>
        <w:t>月）有不良行为记录的；</w:t>
      </w:r>
    </w:p>
    <w:p>
      <w:pPr>
        <w:widowControl/>
        <w:adjustRightInd w:val="0"/>
        <w:snapToGrid w:val="0"/>
        <w:spacing w:line="400" w:lineRule="exact"/>
        <w:ind w:firstLine="480" w:firstLineChars="200"/>
        <w:jc w:val="left"/>
        <w:rPr>
          <w:rFonts w:ascii="宋体" w:hAnsi="宋体"/>
          <w:color w:val="auto"/>
          <w:sz w:val="24"/>
          <w:szCs w:val="24"/>
          <w:highlight w:val="none"/>
        </w:rPr>
      </w:pPr>
      <w:r>
        <w:rPr>
          <w:rFonts w:hint="eastAsia" w:ascii="宋体" w:hAnsi="宋体" w:cs="宋体"/>
          <w:color w:val="auto"/>
          <w:kern w:val="0"/>
          <w:sz w:val="24"/>
          <w:szCs w:val="24"/>
          <w:highlight w:val="none"/>
        </w:rPr>
        <w:t>（7）有其他违规行为的。</w:t>
      </w:r>
    </w:p>
    <w:p>
      <w:pPr>
        <w:adjustRightInd w:val="0"/>
        <w:snapToGrid w:val="0"/>
        <w:spacing w:line="300" w:lineRule="auto"/>
        <w:rPr>
          <w:rFonts w:ascii="宋体" w:hAnsi="宋体"/>
          <w:color w:val="auto"/>
          <w:sz w:val="24"/>
          <w:szCs w:val="24"/>
          <w:highlight w:val="none"/>
        </w:rPr>
      </w:pPr>
    </w:p>
    <w:p>
      <w:pPr>
        <w:adjustRightInd w:val="0"/>
        <w:snapToGrid w:val="0"/>
        <w:spacing w:line="300" w:lineRule="auto"/>
        <w:rPr>
          <w:rFonts w:ascii="宋体" w:hAnsi="宋体"/>
          <w:color w:val="auto"/>
          <w:sz w:val="24"/>
          <w:szCs w:val="24"/>
          <w:highlight w:val="none"/>
        </w:rPr>
      </w:pPr>
    </w:p>
    <w:p>
      <w:pPr>
        <w:adjustRightInd w:val="0"/>
        <w:snapToGrid w:val="0"/>
        <w:spacing w:line="300" w:lineRule="auto"/>
        <w:rPr>
          <w:rFonts w:ascii="宋体" w:hAnsi="宋体"/>
          <w:color w:val="auto"/>
          <w:sz w:val="24"/>
          <w:szCs w:val="24"/>
          <w:highlight w:val="none"/>
        </w:rPr>
      </w:pPr>
    </w:p>
    <w:p>
      <w:pPr>
        <w:adjustRightInd w:val="0"/>
        <w:snapToGrid w:val="0"/>
        <w:spacing w:line="300" w:lineRule="auto"/>
        <w:jc w:val="left"/>
        <w:rPr>
          <w:rFonts w:ascii="宋体" w:hAnsi="宋体"/>
          <w:color w:val="auto"/>
          <w:sz w:val="24"/>
          <w:szCs w:val="24"/>
          <w:highlight w:val="none"/>
          <w:u w:val="single"/>
        </w:rPr>
      </w:pPr>
      <w:r>
        <w:rPr>
          <w:rFonts w:hint="eastAsia" w:ascii="宋体" w:hAnsi="宋体" w:cs="宋体"/>
          <w:color w:val="auto"/>
          <w:sz w:val="24"/>
          <w:szCs w:val="24"/>
          <w:highlight w:val="none"/>
        </w:rPr>
        <w:t xml:space="preserve">投标人（盖单位电子公章）： </w:t>
      </w:r>
      <w:r>
        <w:rPr>
          <w:rFonts w:hint="eastAsia" w:ascii="宋体" w:hAnsi="宋体" w:cs="宋体"/>
          <w:color w:val="auto"/>
          <w:sz w:val="24"/>
          <w:szCs w:val="24"/>
          <w:highlight w:val="none"/>
          <w:u w:val="single"/>
        </w:rPr>
        <w:t xml:space="preserve">                           </w:t>
      </w:r>
    </w:p>
    <w:p>
      <w:pPr>
        <w:adjustRightInd w:val="0"/>
        <w:snapToGrid w:val="0"/>
        <w:spacing w:line="300" w:lineRule="auto"/>
        <w:jc w:val="left"/>
        <w:rPr>
          <w:rFonts w:ascii="宋体" w:hAnsi="宋体"/>
          <w:color w:val="auto"/>
          <w:sz w:val="24"/>
          <w:szCs w:val="24"/>
          <w:highlight w:val="none"/>
        </w:rPr>
      </w:pPr>
    </w:p>
    <w:p>
      <w:pPr>
        <w:adjustRightInd w:val="0"/>
        <w:snapToGrid w:val="0"/>
        <w:spacing w:line="300" w:lineRule="auto"/>
        <w:jc w:val="left"/>
        <w:rPr>
          <w:rFonts w:ascii="宋体" w:hAnsi="宋体"/>
          <w:color w:val="auto"/>
          <w:sz w:val="24"/>
          <w:szCs w:val="24"/>
          <w:highlight w:val="none"/>
        </w:rPr>
      </w:pPr>
    </w:p>
    <w:p>
      <w:pPr>
        <w:adjustRightInd w:val="0"/>
        <w:snapToGrid w:val="0"/>
        <w:spacing w:line="300" w:lineRule="auto"/>
        <w:jc w:val="left"/>
        <w:rPr>
          <w:rFonts w:ascii="宋体" w:hAnsi="宋体"/>
          <w:color w:val="auto"/>
          <w:sz w:val="24"/>
          <w:szCs w:val="24"/>
          <w:highlight w:val="none"/>
          <w:u w:val="single"/>
        </w:rPr>
      </w:pPr>
      <w:r>
        <w:rPr>
          <w:rFonts w:hint="eastAsia" w:ascii="宋体" w:hAnsi="宋体" w:cs="宋体"/>
          <w:color w:val="auto"/>
          <w:sz w:val="24"/>
          <w:szCs w:val="24"/>
          <w:highlight w:val="none"/>
        </w:rPr>
        <w:t xml:space="preserve">法定代表人（盖单位法定代表人电子章）： </w:t>
      </w:r>
      <w:r>
        <w:rPr>
          <w:rFonts w:hint="eastAsia" w:ascii="宋体" w:hAnsi="宋体" w:cs="宋体"/>
          <w:color w:val="auto"/>
          <w:sz w:val="24"/>
          <w:szCs w:val="24"/>
          <w:highlight w:val="none"/>
          <w:u w:val="single"/>
        </w:rPr>
        <w:t xml:space="preserve">                             </w:t>
      </w:r>
    </w:p>
    <w:p>
      <w:pPr>
        <w:adjustRightInd w:val="0"/>
        <w:snapToGrid w:val="0"/>
        <w:spacing w:line="300" w:lineRule="auto"/>
        <w:jc w:val="left"/>
        <w:rPr>
          <w:rFonts w:ascii="宋体" w:hAnsi="宋体"/>
          <w:color w:val="auto"/>
          <w:sz w:val="24"/>
          <w:szCs w:val="24"/>
          <w:highlight w:val="none"/>
        </w:rPr>
      </w:pPr>
    </w:p>
    <w:p>
      <w:pPr>
        <w:adjustRightInd w:val="0"/>
        <w:snapToGrid w:val="0"/>
        <w:spacing w:line="300" w:lineRule="auto"/>
        <w:jc w:val="left"/>
        <w:rPr>
          <w:rFonts w:ascii="宋体" w:hAnsi="宋体"/>
          <w:b/>
          <w:bCs/>
          <w:color w:val="auto"/>
          <w:sz w:val="24"/>
          <w:szCs w:val="24"/>
          <w:highlight w:val="none"/>
        </w:rPr>
      </w:pPr>
      <w:r>
        <w:rPr>
          <w:rFonts w:hint="eastAsia" w:ascii="宋体" w:hAnsi="宋体" w:cs="宋体"/>
          <w:color w:val="auto"/>
          <w:sz w:val="24"/>
          <w:szCs w:val="24"/>
          <w:highlight w:val="none"/>
        </w:rPr>
        <w:t xml:space="preserve">  年  月  日</w:t>
      </w:r>
    </w:p>
    <w:p>
      <w:pPr>
        <w:jc w:val="center"/>
        <w:rPr>
          <w:rFonts w:ascii="宋体" w:hAnsi="宋体"/>
          <w:b/>
          <w:bCs/>
          <w:color w:val="auto"/>
          <w:sz w:val="36"/>
          <w:szCs w:val="36"/>
          <w:highlight w:val="none"/>
        </w:rPr>
      </w:pPr>
    </w:p>
    <w:p>
      <w:pPr>
        <w:jc w:val="center"/>
        <w:rPr>
          <w:rFonts w:ascii="宋体" w:hAnsi="宋体"/>
          <w:b/>
          <w:bCs/>
          <w:color w:val="auto"/>
          <w:sz w:val="36"/>
          <w:szCs w:val="36"/>
          <w:highlight w:val="none"/>
        </w:rPr>
      </w:pPr>
    </w:p>
    <w:p>
      <w:pPr>
        <w:rPr>
          <w:rFonts w:ascii="宋体" w:hAnsi="宋体"/>
          <w:color w:val="auto"/>
          <w:highlight w:val="none"/>
        </w:rPr>
      </w:pPr>
    </w:p>
    <w:p>
      <w:pPr>
        <w:rPr>
          <w:rFonts w:ascii="宋体" w:hAnsi="宋体" w:cs="宋体"/>
          <w:color w:val="auto"/>
          <w:sz w:val="28"/>
          <w:szCs w:val="28"/>
          <w:highlight w:val="none"/>
        </w:rPr>
      </w:pPr>
    </w:p>
    <w:p>
      <w:pPr>
        <w:rPr>
          <w:rFonts w:ascii="宋体" w:hAnsi="宋体"/>
          <w:color w:val="auto"/>
          <w:sz w:val="28"/>
          <w:szCs w:val="28"/>
          <w:highlight w:val="none"/>
        </w:rPr>
      </w:pPr>
      <w:r>
        <w:rPr>
          <w:rFonts w:hint="eastAsia" w:ascii="宋体" w:hAnsi="宋体" w:cs="宋体"/>
          <w:color w:val="auto"/>
          <w:sz w:val="28"/>
          <w:szCs w:val="28"/>
          <w:highlight w:val="none"/>
        </w:rPr>
        <w:t>附件</w:t>
      </w:r>
      <w:r>
        <w:rPr>
          <w:rFonts w:hint="eastAsia" w:ascii="宋体" w:hAnsi="宋体"/>
          <w:color w:val="auto"/>
          <w:sz w:val="28"/>
          <w:szCs w:val="28"/>
          <w:highlight w:val="none"/>
        </w:rPr>
        <w:t>5</w:t>
      </w:r>
    </w:p>
    <w:p>
      <w:pPr>
        <w:jc w:val="center"/>
        <w:rPr>
          <w:rFonts w:ascii="宋体" w:hAnsi="宋体"/>
          <w:b/>
          <w:bCs/>
          <w:color w:val="auto"/>
          <w:sz w:val="36"/>
          <w:szCs w:val="36"/>
          <w:highlight w:val="none"/>
        </w:rPr>
      </w:pPr>
    </w:p>
    <w:p>
      <w:pPr>
        <w:jc w:val="center"/>
        <w:rPr>
          <w:rFonts w:ascii="宋体" w:hAnsi="宋体"/>
          <w:b/>
          <w:bCs/>
          <w:color w:val="auto"/>
          <w:sz w:val="36"/>
          <w:szCs w:val="36"/>
          <w:highlight w:val="none"/>
        </w:rPr>
      </w:pPr>
    </w:p>
    <w:p>
      <w:pPr>
        <w:jc w:val="center"/>
        <w:rPr>
          <w:rFonts w:ascii="宋体" w:hAnsi="宋体"/>
          <w:b/>
          <w:bCs/>
          <w:color w:val="auto"/>
          <w:sz w:val="36"/>
          <w:szCs w:val="36"/>
          <w:highlight w:val="none"/>
        </w:rPr>
      </w:pPr>
    </w:p>
    <w:p>
      <w:pPr>
        <w:jc w:val="center"/>
        <w:rPr>
          <w:rFonts w:ascii="宋体" w:hAnsi="宋体"/>
          <w:b/>
          <w:bCs/>
          <w:color w:val="auto"/>
          <w:sz w:val="36"/>
          <w:szCs w:val="36"/>
          <w:highlight w:val="none"/>
        </w:rPr>
      </w:pPr>
      <w:r>
        <w:rPr>
          <w:rFonts w:hint="eastAsia" w:ascii="宋体" w:hAnsi="宋体" w:cs="宋体"/>
          <w:b/>
          <w:bCs/>
          <w:color w:val="auto"/>
          <w:sz w:val="36"/>
          <w:szCs w:val="36"/>
          <w:highlight w:val="none"/>
        </w:rPr>
        <w:t>资格审查资料</w:t>
      </w:r>
    </w:p>
    <w:p>
      <w:pPr>
        <w:jc w:val="center"/>
        <w:rPr>
          <w:rFonts w:ascii="宋体" w:hAnsi="宋体"/>
          <w:b/>
          <w:bCs/>
          <w:color w:val="auto"/>
          <w:sz w:val="36"/>
          <w:szCs w:val="36"/>
          <w:highlight w:val="none"/>
        </w:rPr>
      </w:pPr>
    </w:p>
    <w:p>
      <w:pPr>
        <w:jc w:val="center"/>
        <w:rPr>
          <w:rFonts w:ascii="宋体" w:hAnsi="宋体"/>
          <w:b/>
          <w:bCs/>
          <w:color w:val="auto"/>
          <w:sz w:val="36"/>
          <w:szCs w:val="36"/>
          <w:highlight w:val="none"/>
        </w:rPr>
      </w:pPr>
    </w:p>
    <w:p>
      <w:pPr>
        <w:jc w:val="center"/>
        <w:rPr>
          <w:rFonts w:ascii="宋体" w:hAnsi="宋体"/>
          <w:b/>
          <w:bCs/>
          <w:color w:val="auto"/>
          <w:sz w:val="36"/>
          <w:szCs w:val="36"/>
          <w:highlight w:val="none"/>
        </w:rPr>
      </w:pPr>
    </w:p>
    <w:p>
      <w:pPr>
        <w:jc w:val="center"/>
        <w:rPr>
          <w:rFonts w:ascii="宋体" w:hAnsi="宋体"/>
          <w:b/>
          <w:bCs/>
          <w:color w:val="auto"/>
          <w:sz w:val="36"/>
          <w:szCs w:val="36"/>
          <w:highlight w:val="none"/>
        </w:rPr>
      </w:pPr>
    </w:p>
    <w:p>
      <w:pPr>
        <w:jc w:val="center"/>
        <w:rPr>
          <w:rFonts w:ascii="宋体" w:hAnsi="宋体"/>
          <w:color w:val="auto"/>
          <w:highlight w:val="none"/>
        </w:rPr>
      </w:pPr>
      <w:r>
        <w:rPr>
          <w:rFonts w:hint="eastAsia" w:ascii="宋体" w:hAnsi="宋体" w:cs="宋体"/>
          <w:color w:val="auto"/>
          <w:highlight w:val="none"/>
        </w:rPr>
        <w:t>（按项目确定须提交的资料及资料格式要求）</w:t>
      </w:r>
    </w:p>
    <w:p>
      <w:pPr>
        <w:jc w:val="center"/>
        <w:rPr>
          <w:rFonts w:ascii="宋体" w:hAnsi="宋体"/>
          <w:b/>
          <w:bCs/>
          <w:color w:val="auto"/>
          <w:sz w:val="36"/>
          <w:szCs w:val="36"/>
          <w:highlight w:val="none"/>
        </w:rPr>
      </w:pPr>
    </w:p>
    <w:p>
      <w:pPr>
        <w:jc w:val="center"/>
        <w:rPr>
          <w:rFonts w:ascii="宋体" w:hAnsi="宋体"/>
          <w:b/>
          <w:bCs/>
          <w:color w:val="auto"/>
          <w:sz w:val="36"/>
          <w:szCs w:val="36"/>
          <w:highlight w:val="none"/>
        </w:rPr>
      </w:pPr>
    </w:p>
    <w:p>
      <w:pPr>
        <w:jc w:val="center"/>
        <w:rPr>
          <w:rFonts w:ascii="宋体" w:hAnsi="宋体"/>
          <w:b/>
          <w:bCs/>
          <w:color w:val="auto"/>
          <w:sz w:val="36"/>
          <w:szCs w:val="36"/>
          <w:highlight w:val="none"/>
        </w:rPr>
      </w:pPr>
    </w:p>
    <w:p>
      <w:pPr>
        <w:jc w:val="center"/>
        <w:rPr>
          <w:rFonts w:ascii="宋体" w:hAnsi="宋体"/>
          <w:b/>
          <w:bCs/>
          <w:color w:val="auto"/>
          <w:sz w:val="36"/>
          <w:szCs w:val="36"/>
          <w:highlight w:val="none"/>
        </w:rPr>
      </w:pPr>
    </w:p>
    <w:p>
      <w:pPr>
        <w:jc w:val="center"/>
        <w:rPr>
          <w:rFonts w:ascii="宋体" w:hAnsi="宋体"/>
          <w:b/>
          <w:bCs/>
          <w:color w:val="auto"/>
          <w:sz w:val="36"/>
          <w:szCs w:val="36"/>
          <w:highlight w:val="none"/>
        </w:rPr>
      </w:pPr>
    </w:p>
    <w:p>
      <w:pPr>
        <w:jc w:val="center"/>
        <w:rPr>
          <w:rFonts w:ascii="宋体" w:hAnsi="宋体"/>
          <w:b/>
          <w:bCs/>
          <w:color w:val="auto"/>
          <w:sz w:val="36"/>
          <w:szCs w:val="36"/>
          <w:highlight w:val="none"/>
        </w:rPr>
      </w:pPr>
    </w:p>
    <w:p>
      <w:pPr>
        <w:jc w:val="center"/>
        <w:rPr>
          <w:rFonts w:ascii="宋体" w:hAnsi="宋体"/>
          <w:b/>
          <w:bCs/>
          <w:color w:val="auto"/>
          <w:sz w:val="36"/>
          <w:szCs w:val="36"/>
          <w:highlight w:val="none"/>
        </w:rPr>
      </w:pPr>
    </w:p>
    <w:p>
      <w:pPr>
        <w:jc w:val="center"/>
        <w:rPr>
          <w:rFonts w:ascii="宋体" w:hAnsi="宋体"/>
          <w:b/>
          <w:bCs/>
          <w:color w:val="auto"/>
          <w:sz w:val="36"/>
          <w:szCs w:val="36"/>
          <w:highlight w:val="none"/>
        </w:rPr>
      </w:pPr>
    </w:p>
    <w:p>
      <w:pPr>
        <w:jc w:val="center"/>
        <w:rPr>
          <w:rFonts w:ascii="宋体" w:hAnsi="宋体"/>
          <w:b/>
          <w:bCs/>
          <w:color w:val="auto"/>
          <w:sz w:val="36"/>
          <w:szCs w:val="36"/>
          <w:highlight w:val="none"/>
        </w:rPr>
      </w:pPr>
    </w:p>
    <w:p>
      <w:pPr>
        <w:jc w:val="center"/>
        <w:rPr>
          <w:rFonts w:ascii="宋体" w:hAnsi="宋体"/>
          <w:b/>
          <w:bCs/>
          <w:color w:val="auto"/>
          <w:sz w:val="36"/>
          <w:szCs w:val="36"/>
          <w:highlight w:val="none"/>
        </w:rPr>
      </w:pPr>
    </w:p>
    <w:p>
      <w:pPr>
        <w:jc w:val="center"/>
        <w:rPr>
          <w:rFonts w:ascii="宋体" w:hAnsi="宋体"/>
          <w:b/>
          <w:bCs/>
          <w:color w:val="auto"/>
          <w:sz w:val="36"/>
          <w:szCs w:val="36"/>
          <w:highlight w:val="none"/>
        </w:rPr>
      </w:pPr>
    </w:p>
    <w:p>
      <w:pPr>
        <w:jc w:val="center"/>
        <w:rPr>
          <w:rFonts w:ascii="宋体" w:hAnsi="宋体"/>
          <w:b/>
          <w:bCs/>
          <w:color w:val="auto"/>
          <w:sz w:val="36"/>
          <w:szCs w:val="36"/>
          <w:highlight w:val="none"/>
        </w:rPr>
      </w:pPr>
    </w:p>
    <w:p>
      <w:pPr>
        <w:jc w:val="center"/>
        <w:rPr>
          <w:rFonts w:ascii="宋体" w:hAnsi="宋体"/>
          <w:b/>
          <w:bCs/>
          <w:color w:val="auto"/>
          <w:sz w:val="36"/>
          <w:szCs w:val="36"/>
          <w:highlight w:val="none"/>
        </w:rPr>
      </w:pPr>
    </w:p>
    <w:p>
      <w:pPr>
        <w:jc w:val="center"/>
        <w:rPr>
          <w:rFonts w:ascii="宋体" w:hAnsi="宋体"/>
          <w:b/>
          <w:bCs/>
          <w:color w:val="auto"/>
          <w:sz w:val="36"/>
          <w:szCs w:val="36"/>
          <w:highlight w:val="none"/>
        </w:rPr>
      </w:pPr>
    </w:p>
    <w:p>
      <w:pPr>
        <w:jc w:val="center"/>
        <w:rPr>
          <w:rFonts w:ascii="宋体" w:hAnsi="宋体"/>
          <w:b/>
          <w:bCs/>
          <w:color w:val="auto"/>
          <w:sz w:val="36"/>
          <w:szCs w:val="36"/>
          <w:highlight w:val="none"/>
        </w:rPr>
      </w:pPr>
    </w:p>
    <w:p>
      <w:pPr>
        <w:jc w:val="center"/>
        <w:rPr>
          <w:rFonts w:ascii="宋体" w:hAnsi="宋体"/>
          <w:b/>
          <w:bCs/>
          <w:color w:val="auto"/>
          <w:sz w:val="36"/>
          <w:szCs w:val="36"/>
          <w:highlight w:val="none"/>
        </w:rPr>
      </w:pPr>
    </w:p>
    <w:p>
      <w:pPr>
        <w:jc w:val="center"/>
        <w:rPr>
          <w:rFonts w:ascii="宋体" w:hAnsi="宋体"/>
          <w:b/>
          <w:bCs/>
          <w:color w:val="auto"/>
          <w:sz w:val="36"/>
          <w:szCs w:val="36"/>
          <w:highlight w:val="none"/>
        </w:rPr>
      </w:pPr>
    </w:p>
    <w:p>
      <w:pPr>
        <w:jc w:val="center"/>
        <w:rPr>
          <w:rFonts w:ascii="宋体" w:hAnsi="宋体"/>
          <w:b/>
          <w:bCs/>
          <w:color w:val="auto"/>
          <w:sz w:val="36"/>
          <w:szCs w:val="36"/>
          <w:highlight w:val="none"/>
        </w:rPr>
      </w:pPr>
    </w:p>
    <w:p>
      <w:pPr>
        <w:jc w:val="center"/>
        <w:rPr>
          <w:rFonts w:ascii="宋体" w:hAnsi="宋体"/>
          <w:b/>
          <w:bCs/>
          <w:color w:val="auto"/>
          <w:sz w:val="36"/>
          <w:szCs w:val="36"/>
          <w:highlight w:val="none"/>
        </w:rPr>
      </w:pPr>
    </w:p>
    <w:p>
      <w:pPr>
        <w:jc w:val="center"/>
        <w:rPr>
          <w:rFonts w:ascii="宋体" w:hAnsi="宋体"/>
          <w:b/>
          <w:bCs/>
          <w:color w:val="auto"/>
          <w:sz w:val="36"/>
          <w:szCs w:val="36"/>
          <w:highlight w:val="none"/>
        </w:rPr>
      </w:pPr>
    </w:p>
    <w:p>
      <w:pPr>
        <w:jc w:val="center"/>
        <w:rPr>
          <w:rFonts w:ascii="宋体" w:hAnsi="宋体"/>
          <w:b/>
          <w:bCs/>
          <w:strike/>
          <w:color w:val="auto"/>
          <w:sz w:val="36"/>
          <w:szCs w:val="36"/>
          <w:highlight w:val="none"/>
        </w:rPr>
      </w:pPr>
    </w:p>
    <w:p>
      <w:pPr>
        <w:rPr>
          <w:rFonts w:ascii="宋体" w:hAnsi="宋体" w:cs="宋体"/>
          <w:strike/>
          <w:color w:val="auto"/>
          <w:sz w:val="28"/>
          <w:szCs w:val="28"/>
          <w:highlight w:val="none"/>
        </w:rPr>
      </w:pPr>
      <w:r>
        <w:rPr>
          <w:rFonts w:hint="eastAsia" w:ascii="宋体" w:hAnsi="宋体" w:cs="宋体"/>
          <w:strike/>
          <w:color w:val="auto"/>
          <w:sz w:val="28"/>
          <w:szCs w:val="28"/>
          <w:highlight w:val="none"/>
        </w:rPr>
        <w:t xml:space="preserve">附件 6 </w:t>
      </w:r>
    </w:p>
    <w:p>
      <w:pPr>
        <w:jc w:val="center"/>
        <w:rPr>
          <w:rFonts w:ascii="宋体" w:hAnsi="宋体"/>
          <w:b/>
          <w:bCs/>
          <w:strike/>
          <w:color w:val="auto"/>
          <w:sz w:val="36"/>
          <w:szCs w:val="36"/>
          <w:highlight w:val="none"/>
        </w:rPr>
      </w:pPr>
    </w:p>
    <w:p>
      <w:pPr>
        <w:jc w:val="center"/>
        <w:rPr>
          <w:rFonts w:ascii="宋体" w:hAnsi="宋体"/>
          <w:b/>
          <w:bCs/>
          <w:strike/>
          <w:color w:val="auto"/>
          <w:sz w:val="36"/>
          <w:szCs w:val="36"/>
          <w:highlight w:val="none"/>
        </w:rPr>
      </w:pPr>
    </w:p>
    <w:p>
      <w:pPr>
        <w:jc w:val="center"/>
        <w:rPr>
          <w:rFonts w:ascii="宋体" w:hAnsi="宋体"/>
          <w:b/>
          <w:bCs/>
          <w:strike/>
          <w:color w:val="auto"/>
          <w:sz w:val="36"/>
          <w:szCs w:val="36"/>
          <w:highlight w:val="none"/>
        </w:rPr>
      </w:pPr>
    </w:p>
    <w:p>
      <w:pPr>
        <w:jc w:val="center"/>
        <w:rPr>
          <w:rFonts w:ascii="宋体" w:hAnsi="宋体"/>
          <w:b/>
          <w:bCs/>
          <w:strike/>
          <w:color w:val="auto"/>
          <w:sz w:val="36"/>
          <w:szCs w:val="36"/>
          <w:highlight w:val="none"/>
        </w:rPr>
      </w:pPr>
      <w:r>
        <w:rPr>
          <w:rFonts w:hint="eastAsia" w:ascii="宋体" w:hAnsi="宋体"/>
          <w:b/>
          <w:bCs/>
          <w:strike/>
          <w:color w:val="auto"/>
          <w:sz w:val="36"/>
          <w:szCs w:val="36"/>
          <w:highlight w:val="none"/>
        </w:rPr>
        <w:t xml:space="preserve">技术标响应资料 </w:t>
      </w:r>
    </w:p>
    <w:p>
      <w:pPr>
        <w:jc w:val="center"/>
        <w:rPr>
          <w:rFonts w:ascii="宋体" w:hAnsi="宋体"/>
          <w:b/>
          <w:bCs/>
          <w:strike/>
          <w:color w:val="auto"/>
          <w:sz w:val="36"/>
          <w:szCs w:val="36"/>
          <w:highlight w:val="none"/>
        </w:rPr>
      </w:pPr>
    </w:p>
    <w:p>
      <w:pPr>
        <w:jc w:val="center"/>
        <w:rPr>
          <w:rFonts w:ascii="宋体" w:hAnsi="宋体"/>
          <w:b/>
          <w:bCs/>
          <w:strike/>
          <w:color w:val="auto"/>
          <w:sz w:val="36"/>
          <w:szCs w:val="36"/>
          <w:highlight w:val="none"/>
        </w:rPr>
      </w:pPr>
    </w:p>
    <w:p>
      <w:pPr>
        <w:jc w:val="center"/>
        <w:rPr>
          <w:rFonts w:ascii="宋体" w:hAnsi="宋体"/>
          <w:b/>
          <w:bCs/>
          <w:strike/>
          <w:color w:val="auto"/>
          <w:sz w:val="36"/>
          <w:szCs w:val="36"/>
          <w:highlight w:val="none"/>
        </w:rPr>
      </w:pPr>
    </w:p>
    <w:p>
      <w:pPr>
        <w:jc w:val="center"/>
        <w:rPr>
          <w:rFonts w:ascii="宋体" w:hAnsi="宋体"/>
          <w:b/>
          <w:bCs/>
          <w:strike/>
          <w:color w:val="auto"/>
          <w:sz w:val="36"/>
          <w:szCs w:val="36"/>
          <w:highlight w:val="none"/>
        </w:rPr>
      </w:pPr>
    </w:p>
    <w:p>
      <w:pPr>
        <w:jc w:val="center"/>
        <w:rPr>
          <w:rFonts w:ascii="宋体" w:hAnsi="宋体"/>
          <w:b/>
          <w:bCs/>
          <w:strike/>
          <w:color w:val="auto"/>
          <w:sz w:val="36"/>
          <w:szCs w:val="36"/>
          <w:highlight w:val="none"/>
        </w:rPr>
      </w:pPr>
    </w:p>
    <w:p>
      <w:pPr>
        <w:jc w:val="center"/>
        <w:rPr>
          <w:rFonts w:ascii="宋体" w:hAnsi="宋体"/>
          <w:b/>
          <w:bCs/>
          <w:strike/>
          <w:color w:val="auto"/>
          <w:sz w:val="36"/>
          <w:szCs w:val="36"/>
          <w:highlight w:val="none"/>
        </w:rPr>
      </w:pPr>
      <w:r>
        <w:rPr>
          <w:rFonts w:hint="eastAsia" w:ascii="宋体" w:hAnsi="宋体" w:cs="宋体"/>
          <w:strike/>
          <w:color w:val="auto"/>
          <w:highlight w:val="none"/>
        </w:rPr>
        <w:t>（按项目确定须提交的资料及资料格式要求）</w:t>
      </w:r>
    </w:p>
    <w:p>
      <w:pPr>
        <w:jc w:val="center"/>
        <w:rPr>
          <w:rFonts w:ascii="宋体" w:hAnsi="宋体"/>
          <w:b/>
          <w:bCs/>
          <w:strike/>
          <w:color w:val="auto"/>
          <w:sz w:val="36"/>
          <w:szCs w:val="36"/>
          <w:highlight w:val="none"/>
        </w:rPr>
      </w:pPr>
    </w:p>
    <w:p>
      <w:pPr>
        <w:jc w:val="center"/>
        <w:rPr>
          <w:rFonts w:ascii="宋体" w:hAnsi="宋体"/>
          <w:b/>
          <w:bCs/>
          <w:strike/>
          <w:color w:val="auto"/>
          <w:sz w:val="36"/>
          <w:szCs w:val="36"/>
          <w:highlight w:val="none"/>
        </w:rPr>
      </w:pPr>
    </w:p>
    <w:p>
      <w:pPr>
        <w:jc w:val="center"/>
        <w:rPr>
          <w:rFonts w:ascii="宋体" w:hAnsi="宋体"/>
          <w:b/>
          <w:bCs/>
          <w:strike/>
          <w:color w:val="auto"/>
          <w:sz w:val="36"/>
          <w:szCs w:val="36"/>
          <w:highlight w:val="none"/>
        </w:rPr>
      </w:pPr>
    </w:p>
    <w:p>
      <w:pPr>
        <w:jc w:val="center"/>
        <w:rPr>
          <w:rFonts w:ascii="宋体" w:hAnsi="宋体"/>
          <w:b/>
          <w:bCs/>
          <w:strike/>
          <w:color w:val="auto"/>
          <w:sz w:val="36"/>
          <w:szCs w:val="36"/>
          <w:highlight w:val="none"/>
        </w:rPr>
      </w:pPr>
    </w:p>
    <w:p>
      <w:pPr>
        <w:jc w:val="center"/>
        <w:rPr>
          <w:rFonts w:ascii="宋体" w:hAnsi="宋体"/>
          <w:b/>
          <w:bCs/>
          <w:strike/>
          <w:color w:val="auto"/>
          <w:sz w:val="36"/>
          <w:szCs w:val="36"/>
          <w:highlight w:val="none"/>
        </w:rPr>
      </w:pPr>
    </w:p>
    <w:p>
      <w:pPr>
        <w:jc w:val="center"/>
        <w:rPr>
          <w:rFonts w:ascii="宋体" w:hAnsi="宋体"/>
          <w:b/>
          <w:bCs/>
          <w:strike/>
          <w:color w:val="auto"/>
          <w:sz w:val="36"/>
          <w:szCs w:val="36"/>
          <w:highlight w:val="none"/>
        </w:rPr>
      </w:pPr>
    </w:p>
    <w:p>
      <w:pPr>
        <w:jc w:val="center"/>
        <w:rPr>
          <w:rFonts w:ascii="宋体" w:hAnsi="宋体"/>
          <w:b/>
          <w:bCs/>
          <w:strike/>
          <w:color w:val="auto"/>
          <w:sz w:val="36"/>
          <w:szCs w:val="36"/>
          <w:highlight w:val="none"/>
        </w:rPr>
      </w:pPr>
    </w:p>
    <w:p>
      <w:pPr>
        <w:jc w:val="center"/>
        <w:rPr>
          <w:rFonts w:ascii="宋体" w:hAnsi="宋体"/>
          <w:b/>
          <w:bCs/>
          <w:strike/>
          <w:color w:val="auto"/>
          <w:sz w:val="36"/>
          <w:szCs w:val="36"/>
          <w:highlight w:val="none"/>
        </w:rPr>
      </w:pPr>
    </w:p>
    <w:p>
      <w:pPr>
        <w:jc w:val="center"/>
        <w:rPr>
          <w:rFonts w:ascii="宋体" w:hAnsi="宋体"/>
          <w:b/>
          <w:bCs/>
          <w:strike/>
          <w:color w:val="auto"/>
          <w:sz w:val="36"/>
          <w:szCs w:val="36"/>
          <w:highlight w:val="none"/>
        </w:rPr>
      </w:pPr>
    </w:p>
    <w:p>
      <w:pPr>
        <w:jc w:val="center"/>
        <w:rPr>
          <w:rFonts w:ascii="宋体" w:hAnsi="宋体"/>
          <w:b/>
          <w:bCs/>
          <w:strike/>
          <w:color w:val="auto"/>
          <w:sz w:val="36"/>
          <w:szCs w:val="36"/>
          <w:highlight w:val="none"/>
        </w:rPr>
      </w:pPr>
    </w:p>
    <w:p>
      <w:pPr>
        <w:jc w:val="center"/>
        <w:rPr>
          <w:rFonts w:ascii="宋体" w:hAnsi="宋体"/>
          <w:b/>
          <w:bCs/>
          <w:color w:val="auto"/>
          <w:sz w:val="32"/>
          <w:szCs w:val="32"/>
          <w:highlight w:val="none"/>
        </w:rPr>
      </w:pPr>
    </w:p>
    <w:p>
      <w:pPr>
        <w:jc w:val="center"/>
        <w:rPr>
          <w:rFonts w:ascii="宋体" w:hAnsi="宋体"/>
          <w:b/>
          <w:bCs/>
          <w:color w:val="auto"/>
          <w:sz w:val="32"/>
          <w:szCs w:val="32"/>
          <w:highlight w:val="none"/>
        </w:rPr>
      </w:pPr>
    </w:p>
    <w:p>
      <w:pPr>
        <w:jc w:val="center"/>
        <w:rPr>
          <w:rFonts w:ascii="宋体" w:hAnsi="宋体"/>
          <w:b/>
          <w:bCs/>
          <w:color w:val="auto"/>
          <w:sz w:val="32"/>
          <w:szCs w:val="32"/>
          <w:highlight w:val="none"/>
        </w:rPr>
      </w:pPr>
    </w:p>
    <w:p>
      <w:pPr>
        <w:jc w:val="center"/>
        <w:rPr>
          <w:rFonts w:ascii="宋体" w:hAnsi="宋体"/>
          <w:b/>
          <w:bCs/>
          <w:color w:val="auto"/>
          <w:sz w:val="32"/>
          <w:szCs w:val="32"/>
          <w:highlight w:val="none"/>
        </w:rPr>
      </w:pPr>
    </w:p>
    <w:p>
      <w:pPr>
        <w:jc w:val="center"/>
        <w:rPr>
          <w:rFonts w:ascii="宋体" w:hAnsi="宋体"/>
          <w:b/>
          <w:bCs/>
          <w:color w:val="auto"/>
          <w:sz w:val="32"/>
          <w:szCs w:val="32"/>
          <w:highlight w:val="none"/>
        </w:rPr>
      </w:pPr>
    </w:p>
    <w:p>
      <w:pPr>
        <w:jc w:val="center"/>
        <w:rPr>
          <w:rFonts w:ascii="宋体" w:hAnsi="宋体"/>
          <w:b/>
          <w:bCs/>
          <w:color w:val="auto"/>
          <w:sz w:val="32"/>
          <w:szCs w:val="32"/>
          <w:highlight w:val="none"/>
        </w:rPr>
      </w:pPr>
    </w:p>
    <w:p>
      <w:pPr>
        <w:jc w:val="center"/>
        <w:rPr>
          <w:rFonts w:ascii="宋体" w:hAnsi="宋体"/>
          <w:b/>
          <w:bCs/>
          <w:color w:val="auto"/>
          <w:sz w:val="32"/>
          <w:szCs w:val="32"/>
          <w:highlight w:val="none"/>
        </w:rPr>
      </w:pPr>
    </w:p>
    <w:p>
      <w:pPr>
        <w:jc w:val="center"/>
        <w:rPr>
          <w:rFonts w:ascii="宋体" w:hAnsi="宋体"/>
          <w:b/>
          <w:bCs/>
          <w:color w:val="auto"/>
          <w:sz w:val="32"/>
          <w:szCs w:val="32"/>
          <w:highlight w:val="none"/>
        </w:rPr>
      </w:pPr>
    </w:p>
    <w:p>
      <w:pPr>
        <w:jc w:val="center"/>
        <w:rPr>
          <w:rFonts w:ascii="宋体" w:hAnsi="宋体"/>
          <w:b/>
          <w:bCs/>
          <w:color w:val="auto"/>
          <w:sz w:val="32"/>
          <w:szCs w:val="32"/>
          <w:highlight w:val="none"/>
        </w:rPr>
      </w:pPr>
    </w:p>
    <w:p>
      <w:pPr>
        <w:jc w:val="center"/>
        <w:rPr>
          <w:rFonts w:ascii="宋体" w:hAnsi="宋体"/>
          <w:b/>
          <w:bCs/>
          <w:color w:val="auto"/>
          <w:sz w:val="32"/>
          <w:szCs w:val="32"/>
          <w:highlight w:val="none"/>
        </w:rPr>
      </w:pPr>
    </w:p>
    <w:p>
      <w:pPr>
        <w:jc w:val="center"/>
        <w:rPr>
          <w:rFonts w:ascii="宋体" w:hAnsi="宋体"/>
          <w:b/>
          <w:bCs/>
          <w:color w:val="auto"/>
          <w:sz w:val="36"/>
          <w:szCs w:val="36"/>
          <w:highlight w:val="none"/>
        </w:rPr>
      </w:pPr>
      <w:r>
        <w:rPr>
          <w:rFonts w:hint="eastAsia" w:ascii="宋体" w:hAnsi="宋体" w:cs="宋体"/>
          <w:b/>
          <w:bCs/>
          <w:color w:val="auto"/>
          <w:sz w:val="32"/>
          <w:szCs w:val="32"/>
          <w:highlight w:val="none"/>
        </w:rPr>
        <w:t xml:space="preserve">第五章其他要求和说明 </w:t>
      </w:r>
    </w:p>
    <w:p>
      <w:pPr>
        <w:jc w:val="center"/>
        <w:rPr>
          <w:rFonts w:ascii="宋体" w:hAnsi="宋体"/>
          <w:b/>
          <w:bCs/>
          <w:color w:val="auto"/>
          <w:sz w:val="44"/>
          <w:szCs w:val="44"/>
          <w:highlight w:val="none"/>
        </w:rPr>
      </w:pPr>
    </w:p>
    <w:p>
      <w:pPr>
        <w:rPr>
          <w:rFonts w:ascii="宋体" w:hAnsi="宋体"/>
          <w:b/>
          <w:bCs/>
          <w:color w:val="auto"/>
          <w:sz w:val="44"/>
          <w:szCs w:val="44"/>
          <w:highlight w:val="none"/>
        </w:rPr>
      </w:pPr>
    </w:p>
    <w:p>
      <w:pPr>
        <w:rPr>
          <w:rFonts w:ascii="宋体" w:hAnsi="宋体"/>
          <w:color w:val="auto"/>
          <w:sz w:val="28"/>
          <w:szCs w:val="28"/>
          <w:highlight w:val="none"/>
        </w:rPr>
      </w:pPr>
      <w:r>
        <w:rPr>
          <w:rFonts w:hint="eastAsia" w:ascii="宋体" w:hAnsi="宋体" w:cs="宋体"/>
          <w:color w:val="auto"/>
          <w:sz w:val="28"/>
          <w:szCs w:val="28"/>
          <w:highlight w:val="none"/>
        </w:rPr>
        <w:t>说明一：</w:t>
      </w:r>
    </w:p>
    <w:p>
      <w:pPr>
        <w:ind w:firstLine="2331" w:firstLineChars="645"/>
        <w:rPr>
          <w:rFonts w:ascii="宋体" w:hAnsi="宋体"/>
          <w:b/>
          <w:bCs/>
          <w:color w:val="auto"/>
          <w:sz w:val="36"/>
          <w:szCs w:val="36"/>
          <w:highlight w:val="none"/>
        </w:rPr>
      </w:pPr>
    </w:p>
    <w:p>
      <w:pPr>
        <w:ind w:firstLine="2331" w:firstLineChars="645"/>
        <w:rPr>
          <w:rFonts w:ascii="宋体" w:hAnsi="宋体"/>
          <w:b/>
          <w:bCs/>
          <w:color w:val="auto"/>
          <w:sz w:val="36"/>
          <w:szCs w:val="36"/>
          <w:highlight w:val="none"/>
        </w:rPr>
      </w:pPr>
      <w:r>
        <w:rPr>
          <w:rFonts w:hint="eastAsia" w:ascii="宋体" w:hAnsi="宋体" w:cs="宋体"/>
          <w:b/>
          <w:bCs/>
          <w:color w:val="auto"/>
          <w:sz w:val="36"/>
          <w:szCs w:val="36"/>
          <w:highlight w:val="none"/>
        </w:rPr>
        <w:t>投标报价书写规范说明</w:t>
      </w:r>
    </w:p>
    <w:p>
      <w:pPr>
        <w:rPr>
          <w:rFonts w:ascii="宋体" w:hAnsi="宋体"/>
          <w:color w:val="auto"/>
          <w:sz w:val="28"/>
          <w:szCs w:val="28"/>
          <w:highlight w:val="none"/>
        </w:rPr>
      </w:pPr>
    </w:p>
    <w:p>
      <w:pPr>
        <w:ind w:firstLine="640" w:firstLineChars="200"/>
        <w:rPr>
          <w:rFonts w:ascii="宋体" w:hAnsi="宋体"/>
          <w:color w:val="auto"/>
          <w:sz w:val="32"/>
          <w:szCs w:val="32"/>
          <w:highlight w:val="none"/>
        </w:rPr>
      </w:pPr>
      <w:r>
        <w:rPr>
          <w:rFonts w:hint="eastAsia" w:ascii="宋体" w:hAnsi="宋体" w:cs="仿宋_GB2312"/>
          <w:color w:val="auto"/>
          <w:sz w:val="32"/>
          <w:szCs w:val="32"/>
          <w:highlight w:val="none"/>
        </w:rPr>
        <w:t>一、投标文件中报价（包括下浮率，下同）填写要求为大写的，应用中文（中文大、小写均可）书写，数值表述清晰即可，但不得出现阿拉伯数字、标点符号或者中文以外的其他文字；填写要求为小写的或者不作要求的，均应采用阿拉伯数字和数学符号（如“</w:t>
      </w:r>
      <w:r>
        <w:rPr>
          <w:rFonts w:ascii="宋体" w:hAnsi="宋体" w:cs="仿宋_GB2312"/>
          <w:color w:val="auto"/>
          <w:sz w:val="32"/>
          <w:szCs w:val="32"/>
          <w:highlight w:val="none"/>
        </w:rPr>
        <w:t>.</w:t>
      </w:r>
      <w:r>
        <w:rPr>
          <w:rFonts w:hint="eastAsia" w:ascii="宋体" w:hAnsi="宋体" w:cs="仿宋_GB2312"/>
          <w:color w:val="auto"/>
          <w:sz w:val="32"/>
          <w:szCs w:val="32"/>
          <w:highlight w:val="none"/>
        </w:rPr>
        <w:t>”、“</w:t>
      </w:r>
      <w:r>
        <w:rPr>
          <w:rFonts w:ascii="宋体" w:hAnsi="宋体" w:cs="仿宋_GB2312"/>
          <w:color w:val="auto"/>
          <w:sz w:val="32"/>
          <w:szCs w:val="32"/>
          <w:highlight w:val="none"/>
        </w:rPr>
        <w:t>%</w:t>
      </w:r>
      <w:r>
        <w:rPr>
          <w:rFonts w:hint="eastAsia" w:ascii="宋体" w:hAnsi="宋体" w:cs="仿宋_GB2312"/>
          <w:color w:val="auto"/>
          <w:sz w:val="32"/>
          <w:szCs w:val="32"/>
          <w:highlight w:val="none"/>
        </w:rPr>
        <w:t>”等）书写，不得出现中文或其他文字。不满足以上书写规范要求或者未填写的，相应的投标文件作废标处理。</w:t>
      </w:r>
    </w:p>
    <w:p>
      <w:pPr>
        <w:ind w:firstLine="640" w:firstLineChars="200"/>
        <w:rPr>
          <w:rFonts w:ascii="宋体" w:hAnsi="宋体"/>
          <w:color w:val="auto"/>
          <w:sz w:val="32"/>
          <w:szCs w:val="32"/>
          <w:highlight w:val="none"/>
        </w:rPr>
      </w:pPr>
      <w:r>
        <w:rPr>
          <w:rFonts w:hint="eastAsia" w:ascii="宋体" w:hAnsi="宋体" w:cs="仿宋_GB2312"/>
          <w:color w:val="auto"/>
          <w:sz w:val="32"/>
          <w:szCs w:val="32"/>
          <w:highlight w:val="none"/>
        </w:rPr>
        <w:t>二、投标文件中对同一内容有多处报价的，出现报价不一致时，按以下办法处理：</w:t>
      </w:r>
    </w:p>
    <w:p>
      <w:pPr>
        <w:ind w:firstLine="640" w:firstLineChars="200"/>
        <w:rPr>
          <w:rFonts w:ascii="宋体" w:hAnsi="宋体"/>
          <w:color w:val="auto"/>
          <w:sz w:val="32"/>
          <w:szCs w:val="32"/>
          <w:highlight w:val="none"/>
        </w:rPr>
      </w:pPr>
      <w:r>
        <w:rPr>
          <w:rFonts w:hint="eastAsia" w:ascii="宋体" w:hAnsi="宋体" w:cs="仿宋_GB2312"/>
          <w:color w:val="auto"/>
          <w:sz w:val="32"/>
          <w:szCs w:val="32"/>
          <w:highlight w:val="none"/>
        </w:rPr>
        <w:t>（</w:t>
      </w:r>
      <w:r>
        <w:rPr>
          <w:rFonts w:ascii="宋体" w:hAnsi="宋体" w:cs="仿宋_GB2312"/>
          <w:color w:val="auto"/>
          <w:sz w:val="32"/>
          <w:szCs w:val="32"/>
          <w:highlight w:val="none"/>
        </w:rPr>
        <w:t>1</w:t>
      </w:r>
      <w:r>
        <w:rPr>
          <w:rFonts w:hint="eastAsia" w:ascii="宋体" w:hAnsi="宋体" w:cs="仿宋_GB2312"/>
          <w:color w:val="auto"/>
          <w:sz w:val="32"/>
          <w:szCs w:val="32"/>
          <w:highlight w:val="none"/>
        </w:rPr>
        <w:t>）大写与小写不一致的，以大写为准（大写或者小写书写不规范的，或未填写的按第“一”条处理）；</w:t>
      </w:r>
    </w:p>
    <w:p>
      <w:pPr>
        <w:ind w:firstLine="640" w:firstLineChars="200"/>
        <w:rPr>
          <w:rFonts w:ascii="宋体" w:hAnsi="宋体"/>
          <w:color w:val="auto"/>
          <w:sz w:val="32"/>
          <w:szCs w:val="32"/>
          <w:highlight w:val="none"/>
        </w:rPr>
      </w:pPr>
      <w:r>
        <w:rPr>
          <w:rFonts w:hint="eastAsia" w:ascii="宋体" w:hAnsi="宋体" w:cs="仿宋_GB2312"/>
          <w:color w:val="auto"/>
          <w:sz w:val="32"/>
          <w:szCs w:val="32"/>
          <w:highlight w:val="none"/>
        </w:rPr>
        <w:t>（</w:t>
      </w:r>
      <w:r>
        <w:rPr>
          <w:rFonts w:ascii="宋体" w:hAnsi="宋体" w:cs="仿宋_GB2312"/>
          <w:color w:val="auto"/>
          <w:sz w:val="32"/>
          <w:szCs w:val="32"/>
          <w:highlight w:val="none"/>
        </w:rPr>
        <w:t>2</w:t>
      </w:r>
      <w:r>
        <w:rPr>
          <w:rFonts w:hint="eastAsia" w:ascii="宋体" w:hAnsi="宋体" w:cs="仿宋_GB2312"/>
          <w:color w:val="auto"/>
          <w:sz w:val="32"/>
          <w:szCs w:val="32"/>
          <w:highlight w:val="none"/>
        </w:rPr>
        <w:t>）有二个及以上大写报价且数值大小有不一致的，按废标处理；</w:t>
      </w:r>
    </w:p>
    <w:p>
      <w:pPr>
        <w:ind w:firstLine="640" w:firstLineChars="200"/>
        <w:rPr>
          <w:rFonts w:ascii="宋体" w:hAnsi="宋体"/>
          <w:color w:val="auto"/>
          <w:highlight w:val="none"/>
        </w:rPr>
      </w:pPr>
      <w:r>
        <w:rPr>
          <w:rFonts w:hint="eastAsia" w:ascii="宋体" w:hAnsi="宋体" w:cs="仿宋_GB2312"/>
          <w:color w:val="auto"/>
          <w:sz w:val="32"/>
          <w:szCs w:val="32"/>
          <w:highlight w:val="none"/>
        </w:rPr>
        <w:t>（</w:t>
      </w:r>
      <w:r>
        <w:rPr>
          <w:rFonts w:ascii="宋体" w:hAnsi="宋体" w:cs="仿宋_GB2312"/>
          <w:color w:val="auto"/>
          <w:sz w:val="32"/>
          <w:szCs w:val="32"/>
          <w:highlight w:val="none"/>
        </w:rPr>
        <w:t>3</w:t>
      </w:r>
      <w:r>
        <w:rPr>
          <w:rFonts w:hint="eastAsia" w:ascii="宋体" w:hAnsi="宋体" w:cs="仿宋_GB2312"/>
          <w:color w:val="auto"/>
          <w:sz w:val="32"/>
          <w:szCs w:val="32"/>
          <w:highlight w:val="none"/>
        </w:rPr>
        <w:t>）无大写报价的，但有二个以上小写报价且数值大小有不一致的，按废标处理。</w:t>
      </w:r>
    </w:p>
    <w:p>
      <w:pPr>
        <w:ind w:firstLine="420"/>
        <w:rPr>
          <w:color w:val="auto"/>
          <w:highlight w:val="none"/>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
    <w:altName w:val="Times New Roman"/>
    <w:panose1 w:val="00000000000000000000"/>
    <w:charset w:val="00"/>
    <w:family w:val="roman"/>
    <w:pitch w:val="default"/>
    <w:sig w:usb0="00000000" w:usb1="00000000" w:usb2="00000000" w:usb3="00000000" w:csb0="00000001" w:csb1="00000000"/>
  </w:font>
  <w:font w:name="微软雅黑">
    <w:panose1 w:val="020B0503020204020204"/>
    <w:charset w:val="86"/>
    <w:family w:val="swiss"/>
    <w:pitch w:val="default"/>
    <w:sig w:usb0="80000287" w:usb1="280F3C52" w:usb2="00000016" w:usb3="00000000" w:csb0="0004001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framePr w:wrap="around" w:vAnchor="text" w:hAnchor="margin" w:xAlign="center" w:y="1"/>
      <w:rPr>
        <w:rStyle w:val="12"/>
        <w:rFonts w:cs="宋体"/>
        <w:sz w:val="21"/>
        <w:szCs w:val="21"/>
      </w:rPr>
    </w:pPr>
    <w:r>
      <w:rPr>
        <w:sz w:val="21"/>
        <w:szCs w:val="21"/>
      </w:rPr>
      <w:fldChar w:fldCharType="begin"/>
    </w:r>
    <w:r>
      <w:rPr>
        <w:rStyle w:val="12"/>
        <w:rFonts w:cs="宋体"/>
        <w:sz w:val="21"/>
        <w:szCs w:val="21"/>
      </w:rPr>
      <w:instrText xml:space="preserve">PAGE  </w:instrText>
    </w:r>
    <w:r>
      <w:rPr>
        <w:sz w:val="21"/>
        <w:szCs w:val="21"/>
      </w:rPr>
      <w:fldChar w:fldCharType="separate"/>
    </w:r>
    <w:r>
      <w:rPr>
        <w:rStyle w:val="12"/>
        <w:rFonts w:cs="宋体"/>
        <w:sz w:val="21"/>
        <w:szCs w:val="21"/>
      </w:rPr>
      <w:t>12</w:t>
    </w:r>
    <w:r>
      <w:rPr>
        <w:sz w:val="21"/>
        <w:szCs w:val="21"/>
      </w:rPr>
      <w:fldChar w:fldCharType="end"/>
    </w:r>
  </w:p>
  <w:p>
    <w:pPr>
      <w:pStyle w:val="6"/>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76FF1EA"/>
    <w:multiLevelType w:val="singleLevel"/>
    <w:tmpl w:val="D76FF1EA"/>
    <w:lvl w:ilvl="0" w:tentative="0">
      <w:start w:val="3"/>
      <w:numFmt w:val="decimal"/>
      <w:suff w:val="nothing"/>
      <w:lvlText w:val="%1．"/>
      <w:lvlJc w:val="left"/>
    </w:lvl>
  </w:abstractNum>
  <w:abstractNum w:abstractNumId="1">
    <w:nsid w:val="2F406BD6"/>
    <w:multiLevelType w:val="multilevel"/>
    <w:tmpl w:val="2F406BD6"/>
    <w:lvl w:ilvl="0" w:tentative="0">
      <w:start w:val="1"/>
      <w:numFmt w:val="decimal"/>
      <w:lvlText w:val="%1、"/>
      <w:lvlJc w:val="left"/>
      <w:pPr>
        <w:ind w:left="360" w:hanging="360"/>
      </w:pPr>
      <w:rPr>
        <w:rFonts w:cs="Times New Roman"/>
      </w:r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2">
    <w:nsid w:val="614D2AAD"/>
    <w:multiLevelType w:val="singleLevel"/>
    <w:tmpl w:val="614D2AAD"/>
    <w:lvl w:ilvl="0" w:tentative="0">
      <w:start w:val="1"/>
      <w:numFmt w:val="decimal"/>
      <w:suff w:val="nothing"/>
      <w:lvlText w:val="（%1）"/>
      <w:lvlJc w:val="left"/>
    </w:lvl>
  </w:abstractNum>
  <w:abstractNum w:abstractNumId="3">
    <w:nsid w:val="641B3BA6"/>
    <w:multiLevelType w:val="multilevel"/>
    <w:tmpl w:val="641B3BA6"/>
    <w:lvl w:ilvl="0" w:tentative="0">
      <w:start w:val="4"/>
      <w:numFmt w:val="japaneseCounting"/>
      <w:lvlText w:val="第%1章"/>
      <w:lvlJc w:val="left"/>
      <w:pPr>
        <w:tabs>
          <w:tab w:val="left" w:pos="1200"/>
        </w:tabs>
        <w:ind w:left="1200" w:hanging="1200"/>
      </w:pPr>
      <w:rPr>
        <w:rFonts w:hint="default" w:cs="Times New Roman"/>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num w:numId="1">
    <w:abstractNumId w:val="0"/>
  </w:num>
  <w:num w:numId="2">
    <w:abstractNumId w:val="1"/>
    <w:lvlOverride w:ilvl="0">
      <w:startOverride w:val="1"/>
    </w:lvlOverride>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trackRevisions w:val="1"/>
  <w:documentProtection w:edit="trackedChanges" w:enforcement="1" w:cryptProviderType="rsaFull" w:cryptAlgorithmClass="hash" w:cryptAlgorithmType="typeAny" w:cryptAlgorithmSid="4" w:cryptSpinCount="0" w:hash="w00sIT8XQhrt6VR2n/nDT4GTung=" w:salt="0QvkmyYdbAKJ8UNVq06jeA=="/>
  <w:defaultTabStop w:val="420"/>
  <w:drawingGridHorizontalSpacing w:val="105"/>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AwZTQwMGY4NzJjNjdjMjNlNjk4NzZiZWU0MDM5MTEifQ=="/>
  </w:docVars>
  <w:rsids>
    <w:rsidRoot w:val="0068528A"/>
    <w:rsid w:val="00034DC0"/>
    <w:rsid w:val="00124885"/>
    <w:rsid w:val="001371EA"/>
    <w:rsid w:val="00145901"/>
    <w:rsid w:val="0016307C"/>
    <w:rsid w:val="00163B28"/>
    <w:rsid w:val="00193DAF"/>
    <w:rsid w:val="001D2751"/>
    <w:rsid w:val="001E3ADB"/>
    <w:rsid w:val="00295C50"/>
    <w:rsid w:val="002D3E49"/>
    <w:rsid w:val="00347F15"/>
    <w:rsid w:val="00371014"/>
    <w:rsid w:val="00373E61"/>
    <w:rsid w:val="003B7F07"/>
    <w:rsid w:val="003F3141"/>
    <w:rsid w:val="00444997"/>
    <w:rsid w:val="00445AE4"/>
    <w:rsid w:val="004D767C"/>
    <w:rsid w:val="00513555"/>
    <w:rsid w:val="00525CBB"/>
    <w:rsid w:val="005302B7"/>
    <w:rsid w:val="00550B1C"/>
    <w:rsid w:val="005A0830"/>
    <w:rsid w:val="006570CF"/>
    <w:rsid w:val="006651E8"/>
    <w:rsid w:val="0068528A"/>
    <w:rsid w:val="006A2119"/>
    <w:rsid w:val="006F70D1"/>
    <w:rsid w:val="007A070F"/>
    <w:rsid w:val="007C755E"/>
    <w:rsid w:val="007E06B5"/>
    <w:rsid w:val="008043A7"/>
    <w:rsid w:val="00804A26"/>
    <w:rsid w:val="00880572"/>
    <w:rsid w:val="008B07D1"/>
    <w:rsid w:val="008D0765"/>
    <w:rsid w:val="008D1BDD"/>
    <w:rsid w:val="00937C05"/>
    <w:rsid w:val="009713E5"/>
    <w:rsid w:val="00A44302"/>
    <w:rsid w:val="00AF1A9D"/>
    <w:rsid w:val="00B46174"/>
    <w:rsid w:val="00B469F0"/>
    <w:rsid w:val="00B47115"/>
    <w:rsid w:val="00BB5C87"/>
    <w:rsid w:val="00BF024C"/>
    <w:rsid w:val="00C63123"/>
    <w:rsid w:val="00C644DB"/>
    <w:rsid w:val="00CC2859"/>
    <w:rsid w:val="00CD6541"/>
    <w:rsid w:val="00CF2829"/>
    <w:rsid w:val="00D20F08"/>
    <w:rsid w:val="00DA1770"/>
    <w:rsid w:val="00DD20E9"/>
    <w:rsid w:val="00EC1879"/>
    <w:rsid w:val="00ED26C0"/>
    <w:rsid w:val="00F1590E"/>
    <w:rsid w:val="00FC632F"/>
    <w:rsid w:val="00FE004E"/>
    <w:rsid w:val="014F50DA"/>
    <w:rsid w:val="09876245"/>
    <w:rsid w:val="0B995EF4"/>
    <w:rsid w:val="0D996761"/>
    <w:rsid w:val="0F163003"/>
    <w:rsid w:val="116F08AB"/>
    <w:rsid w:val="1374649F"/>
    <w:rsid w:val="13C679EC"/>
    <w:rsid w:val="17736457"/>
    <w:rsid w:val="1B3A39D0"/>
    <w:rsid w:val="20C033A7"/>
    <w:rsid w:val="219418D3"/>
    <w:rsid w:val="248E335A"/>
    <w:rsid w:val="24F02755"/>
    <w:rsid w:val="265A6233"/>
    <w:rsid w:val="26F86929"/>
    <w:rsid w:val="29FC6D77"/>
    <w:rsid w:val="2E1A101B"/>
    <w:rsid w:val="325976ED"/>
    <w:rsid w:val="37D047FD"/>
    <w:rsid w:val="3A063A2C"/>
    <w:rsid w:val="3A4D6993"/>
    <w:rsid w:val="3D0515C6"/>
    <w:rsid w:val="3E5E6E4E"/>
    <w:rsid w:val="3E686B46"/>
    <w:rsid w:val="4005591C"/>
    <w:rsid w:val="42D10E88"/>
    <w:rsid w:val="42DB3FD3"/>
    <w:rsid w:val="44AC720B"/>
    <w:rsid w:val="47676382"/>
    <w:rsid w:val="47C15E6C"/>
    <w:rsid w:val="4C802A61"/>
    <w:rsid w:val="4F8065DB"/>
    <w:rsid w:val="54655240"/>
    <w:rsid w:val="5E05613E"/>
    <w:rsid w:val="5FCC2427"/>
    <w:rsid w:val="61BA4A6B"/>
    <w:rsid w:val="679975BB"/>
    <w:rsid w:val="6BA622B2"/>
    <w:rsid w:val="73B47D62"/>
    <w:rsid w:val="76E52A5B"/>
    <w:rsid w:val="78393824"/>
    <w:rsid w:val="78717B83"/>
    <w:rsid w:val="7E7A3683"/>
    <w:rsid w:val="7FE97864"/>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qFormat="1" w:unhideWhenUsed="0" w:uiPriority="0" w:semiHidden="0" w:name="HTML Acronym"/>
    <w:lsdException w:uiPriority="99"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iPriority="99"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440" w:lineRule="exact"/>
      <w:jc w:val="both"/>
    </w:pPr>
    <w:rPr>
      <w:rFonts w:asciiTheme="minorHAnsi" w:hAnsiTheme="minorHAnsi" w:eastAsiaTheme="minorEastAsia" w:cstheme="minorBidi"/>
      <w:kern w:val="2"/>
      <w:sz w:val="21"/>
      <w:szCs w:val="22"/>
      <w:lang w:val="en-US" w:eastAsia="zh-CN" w:bidi="ar-SA"/>
    </w:rPr>
  </w:style>
  <w:style w:type="character" w:default="1" w:styleId="10">
    <w:name w:val="Default Paragraph Font"/>
    <w:unhideWhenUsed/>
    <w:qFormat/>
    <w:uiPriority w:val="1"/>
  </w:style>
  <w:style w:type="table" w:default="1" w:styleId="9">
    <w:name w:val="Normal Table"/>
    <w:unhideWhenUsed/>
    <w:qFormat/>
    <w:uiPriority w:val="99"/>
    <w:tblPr>
      <w:tblCellMar>
        <w:top w:w="0" w:type="dxa"/>
        <w:left w:w="108" w:type="dxa"/>
        <w:bottom w:w="0" w:type="dxa"/>
        <w:right w:w="108" w:type="dxa"/>
      </w:tblCellMar>
    </w:tblPr>
  </w:style>
  <w:style w:type="paragraph" w:customStyle="1" w:styleId="2">
    <w:name w:val="Heading1"/>
    <w:basedOn w:val="1"/>
    <w:next w:val="1"/>
    <w:qFormat/>
    <w:uiPriority w:val="0"/>
    <w:pPr>
      <w:keepNext/>
      <w:keepLines/>
      <w:spacing w:before="340" w:after="330" w:line="576" w:lineRule="auto"/>
      <w:textAlignment w:val="baseline"/>
    </w:pPr>
    <w:rPr>
      <w:rFonts w:ascii="Times New Roman" w:hAnsi="Times New Roman" w:eastAsia="宋体" w:cs="Times New Roman"/>
      <w:b/>
      <w:bCs/>
      <w:kern w:val="44"/>
      <w:sz w:val="44"/>
      <w:szCs w:val="44"/>
    </w:rPr>
  </w:style>
  <w:style w:type="paragraph" w:styleId="3">
    <w:name w:val="Document Map"/>
    <w:basedOn w:val="1"/>
    <w:link w:val="24"/>
    <w:qFormat/>
    <w:uiPriority w:val="0"/>
    <w:pPr>
      <w:spacing w:line="240" w:lineRule="auto"/>
    </w:pPr>
    <w:rPr>
      <w:rFonts w:ascii="宋体" w:hAnsi="Times New Roman" w:eastAsia="宋体" w:cs="Times New Roman"/>
      <w:sz w:val="18"/>
      <w:szCs w:val="18"/>
    </w:rPr>
  </w:style>
  <w:style w:type="paragraph" w:styleId="4">
    <w:name w:val="Plain Text"/>
    <w:basedOn w:val="1"/>
    <w:link w:val="25"/>
    <w:qFormat/>
    <w:uiPriority w:val="0"/>
    <w:pPr>
      <w:spacing w:line="240" w:lineRule="auto"/>
    </w:pPr>
    <w:rPr>
      <w:rFonts w:ascii="宋体" w:hAnsi="Courier New" w:eastAsia="宋体" w:cs="Times New Roman"/>
      <w:kern w:val="0"/>
      <w:szCs w:val="21"/>
    </w:rPr>
  </w:style>
  <w:style w:type="paragraph" w:styleId="5">
    <w:name w:val="Balloon Text"/>
    <w:basedOn w:val="1"/>
    <w:link w:val="26"/>
    <w:qFormat/>
    <w:uiPriority w:val="0"/>
    <w:pPr>
      <w:spacing w:line="240" w:lineRule="auto"/>
    </w:pPr>
    <w:rPr>
      <w:rFonts w:ascii="Times New Roman" w:hAnsi="Times New Roman" w:eastAsia="宋体" w:cs="Times New Roman"/>
      <w:sz w:val="18"/>
      <w:szCs w:val="18"/>
    </w:rPr>
  </w:style>
  <w:style w:type="paragraph" w:styleId="6">
    <w:name w:val="footer"/>
    <w:basedOn w:val="1"/>
    <w:link w:val="27"/>
    <w:qFormat/>
    <w:uiPriority w:val="0"/>
    <w:pPr>
      <w:tabs>
        <w:tab w:val="center" w:pos="4153"/>
        <w:tab w:val="right" w:pos="8306"/>
      </w:tabs>
      <w:snapToGrid w:val="0"/>
      <w:spacing w:line="240" w:lineRule="auto"/>
      <w:jc w:val="left"/>
    </w:pPr>
    <w:rPr>
      <w:rFonts w:ascii="Times New Roman" w:hAnsi="Times New Roman" w:eastAsia="宋体" w:cs="Times New Roman"/>
      <w:kern w:val="0"/>
      <w:sz w:val="18"/>
      <w:szCs w:val="18"/>
    </w:rPr>
  </w:style>
  <w:style w:type="paragraph" w:styleId="7">
    <w:name w:val="header"/>
    <w:basedOn w:val="1"/>
    <w:link w:val="28"/>
    <w:qFormat/>
    <w:uiPriority w:val="0"/>
    <w:pPr>
      <w:pBdr>
        <w:bottom w:val="single" w:color="auto" w:sz="6" w:space="1"/>
      </w:pBdr>
      <w:tabs>
        <w:tab w:val="center" w:pos="4153"/>
        <w:tab w:val="right" w:pos="8306"/>
      </w:tabs>
      <w:snapToGrid w:val="0"/>
      <w:spacing w:line="240" w:lineRule="auto"/>
      <w:jc w:val="center"/>
    </w:pPr>
    <w:rPr>
      <w:rFonts w:ascii="Times New Roman" w:hAnsi="Times New Roman" w:eastAsia="宋体" w:cs="Times New Roman"/>
      <w:kern w:val="0"/>
      <w:sz w:val="18"/>
      <w:szCs w:val="18"/>
    </w:rPr>
  </w:style>
  <w:style w:type="paragraph" w:styleId="8">
    <w:name w:val="Normal (Web)"/>
    <w:basedOn w:val="1"/>
    <w:qFormat/>
    <w:uiPriority w:val="99"/>
    <w:pPr>
      <w:widowControl/>
      <w:spacing w:line="240" w:lineRule="auto"/>
      <w:jc w:val="left"/>
    </w:pPr>
    <w:rPr>
      <w:rFonts w:ascii="宋体" w:hAnsi="宋体" w:eastAsia="宋体" w:cs="宋体"/>
      <w:kern w:val="0"/>
      <w:sz w:val="24"/>
      <w:szCs w:val="24"/>
    </w:rPr>
  </w:style>
  <w:style w:type="character" w:styleId="11">
    <w:name w:val="Strong"/>
    <w:basedOn w:val="10"/>
    <w:qFormat/>
    <w:uiPriority w:val="22"/>
    <w:rPr>
      <w:b/>
      <w:bCs/>
    </w:rPr>
  </w:style>
  <w:style w:type="character" w:styleId="12">
    <w:name w:val="page number"/>
    <w:qFormat/>
    <w:uiPriority w:val="0"/>
    <w:rPr>
      <w:rFonts w:cs="Times New Roman"/>
    </w:rPr>
  </w:style>
  <w:style w:type="character" w:styleId="13">
    <w:name w:val="FollowedHyperlink"/>
    <w:basedOn w:val="10"/>
    <w:qFormat/>
    <w:uiPriority w:val="0"/>
    <w:rPr>
      <w:color w:val="800080"/>
      <w:u w:val="none"/>
    </w:rPr>
  </w:style>
  <w:style w:type="character" w:styleId="14">
    <w:name w:val="Emphasis"/>
    <w:basedOn w:val="10"/>
    <w:qFormat/>
    <w:uiPriority w:val="0"/>
    <w:rPr>
      <w:b/>
      <w:bCs/>
    </w:rPr>
  </w:style>
  <w:style w:type="character" w:styleId="15">
    <w:name w:val="HTML Definition"/>
    <w:basedOn w:val="10"/>
    <w:qFormat/>
    <w:uiPriority w:val="0"/>
  </w:style>
  <w:style w:type="character" w:styleId="16">
    <w:name w:val="HTML Typewriter"/>
    <w:basedOn w:val="10"/>
    <w:qFormat/>
    <w:uiPriority w:val="0"/>
    <w:rPr>
      <w:rFonts w:ascii="monospace" w:hAnsi="monospace" w:eastAsia="monospace" w:cs="monospace"/>
      <w:sz w:val="20"/>
    </w:rPr>
  </w:style>
  <w:style w:type="character" w:styleId="17">
    <w:name w:val="HTML Acronym"/>
    <w:basedOn w:val="10"/>
    <w:qFormat/>
    <w:uiPriority w:val="0"/>
  </w:style>
  <w:style w:type="character" w:styleId="18">
    <w:name w:val="HTML Variable"/>
    <w:basedOn w:val="10"/>
    <w:qFormat/>
    <w:uiPriority w:val="0"/>
    <w:rPr>
      <w:sz w:val="0"/>
      <w:szCs w:val="0"/>
      <w:bdr w:val="single" w:color="auto" w:sz="2" w:space="0"/>
    </w:rPr>
  </w:style>
  <w:style w:type="character" w:styleId="19">
    <w:name w:val="Hyperlink"/>
    <w:basedOn w:val="10"/>
    <w:qFormat/>
    <w:uiPriority w:val="0"/>
    <w:rPr>
      <w:color w:val="0000FF"/>
      <w:u w:val="none"/>
    </w:rPr>
  </w:style>
  <w:style w:type="character" w:styleId="20">
    <w:name w:val="HTML Code"/>
    <w:basedOn w:val="10"/>
    <w:qFormat/>
    <w:uiPriority w:val="0"/>
    <w:rPr>
      <w:rFonts w:hint="default" w:ascii="monospace" w:hAnsi="monospace" w:eastAsia="monospace" w:cs="monospace"/>
      <w:sz w:val="20"/>
    </w:rPr>
  </w:style>
  <w:style w:type="character" w:styleId="21">
    <w:name w:val="HTML Cite"/>
    <w:basedOn w:val="10"/>
    <w:qFormat/>
    <w:uiPriority w:val="0"/>
  </w:style>
  <w:style w:type="character" w:styleId="22">
    <w:name w:val="HTML Keyboard"/>
    <w:basedOn w:val="10"/>
    <w:qFormat/>
    <w:uiPriority w:val="0"/>
    <w:rPr>
      <w:rFonts w:hint="default" w:ascii="monospace" w:hAnsi="monospace" w:eastAsia="monospace" w:cs="monospace"/>
      <w:sz w:val="20"/>
    </w:rPr>
  </w:style>
  <w:style w:type="character" w:styleId="23">
    <w:name w:val="HTML Sample"/>
    <w:basedOn w:val="10"/>
    <w:qFormat/>
    <w:uiPriority w:val="0"/>
    <w:rPr>
      <w:rFonts w:hint="default" w:ascii="monospace" w:hAnsi="monospace" w:eastAsia="monospace" w:cs="monospace"/>
    </w:rPr>
  </w:style>
  <w:style w:type="character" w:customStyle="1" w:styleId="24">
    <w:name w:val="文档结构图 Char"/>
    <w:basedOn w:val="10"/>
    <w:link w:val="3"/>
    <w:qFormat/>
    <w:uiPriority w:val="0"/>
    <w:rPr>
      <w:rFonts w:ascii="宋体" w:hAnsi="Times New Roman" w:eastAsia="宋体" w:cs="Times New Roman"/>
      <w:sz w:val="18"/>
      <w:szCs w:val="18"/>
    </w:rPr>
  </w:style>
  <w:style w:type="character" w:customStyle="1" w:styleId="25">
    <w:name w:val="纯文本 Char"/>
    <w:basedOn w:val="10"/>
    <w:link w:val="4"/>
    <w:qFormat/>
    <w:uiPriority w:val="0"/>
    <w:rPr>
      <w:rFonts w:ascii="宋体" w:hAnsi="Courier New" w:eastAsia="宋体" w:cs="Times New Roman"/>
      <w:kern w:val="0"/>
      <w:szCs w:val="21"/>
    </w:rPr>
  </w:style>
  <w:style w:type="character" w:customStyle="1" w:styleId="26">
    <w:name w:val="批注框文本 Char"/>
    <w:basedOn w:val="10"/>
    <w:link w:val="5"/>
    <w:qFormat/>
    <w:uiPriority w:val="0"/>
    <w:rPr>
      <w:rFonts w:ascii="Times New Roman" w:hAnsi="Times New Roman" w:eastAsia="宋体" w:cs="Times New Roman"/>
      <w:sz w:val="18"/>
      <w:szCs w:val="18"/>
    </w:rPr>
  </w:style>
  <w:style w:type="character" w:customStyle="1" w:styleId="27">
    <w:name w:val="页脚 Char"/>
    <w:basedOn w:val="10"/>
    <w:link w:val="6"/>
    <w:qFormat/>
    <w:uiPriority w:val="0"/>
    <w:rPr>
      <w:rFonts w:ascii="Times New Roman" w:hAnsi="Times New Roman" w:eastAsia="宋体" w:cs="Times New Roman"/>
      <w:kern w:val="0"/>
      <w:sz w:val="18"/>
      <w:szCs w:val="18"/>
    </w:rPr>
  </w:style>
  <w:style w:type="character" w:customStyle="1" w:styleId="28">
    <w:name w:val="页眉 Char"/>
    <w:basedOn w:val="10"/>
    <w:link w:val="7"/>
    <w:qFormat/>
    <w:uiPriority w:val="0"/>
    <w:rPr>
      <w:rFonts w:ascii="Times New Roman" w:hAnsi="Times New Roman" w:eastAsia="宋体" w:cs="Times New Roman"/>
      <w:kern w:val="0"/>
      <w:sz w:val="18"/>
      <w:szCs w:val="18"/>
    </w:rPr>
  </w:style>
  <w:style w:type="paragraph" w:customStyle="1" w:styleId="29">
    <w:name w:val="列出段落1"/>
    <w:basedOn w:val="1"/>
    <w:qFormat/>
    <w:uiPriority w:val="99"/>
    <w:pPr>
      <w:spacing w:line="240" w:lineRule="auto"/>
      <w:ind w:firstLine="420" w:firstLineChars="200"/>
    </w:pPr>
    <w:rPr>
      <w:rFonts w:ascii="Times New Roman" w:hAnsi="Times New Roman" w:eastAsia="宋体" w:cs="Times New Roman"/>
      <w:szCs w:val="21"/>
    </w:rPr>
  </w:style>
  <w:style w:type="paragraph" w:customStyle="1" w:styleId="30">
    <w:name w:val="列出段落11"/>
    <w:basedOn w:val="1"/>
    <w:qFormat/>
    <w:uiPriority w:val="0"/>
    <w:pPr>
      <w:spacing w:line="240" w:lineRule="auto"/>
      <w:ind w:firstLine="420" w:firstLineChars="200"/>
    </w:pPr>
    <w:rPr>
      <w:rFonts w:ascii="Calibri" w:hAnsi="Calibri" w:eastAsia="宋体" w:cs="Calibri"/>
      <w:szCs w:val="21"/>
    </w:rPr>
  </w:style>
  <w:style w:type="paragraph" w:customStyle="1" w:styleId="31">
    <w:name w:val="Table Paragraph"/>
    <w:basedOn w:val="1"/>
    <w:qFormat/>
    <w:uiPriority w:val="1"/>
    <w:pPr>
      <w:spacing w:line="240" w:lineRule="auto"/>
      <w:jc w:val="center"/>
    </w:pPr>
    <w:rPr>
      <w:rFonts w:ascii="宋体" w:hAnsi="宋体" w:eastAsia="宋体" w:cs="宋体"/>
      <w:szCs w:val="21"/>
      <w:lang w:val="zh-CN" w:bidi="zh-CN"/>
    </w:rPr>
  </w:style>
  <w:style w:type="character" w:customStyle="1" w:styleId="32">
    <w:name w:val="mini-outputtext1"/>
    <w:basedOn w:val="10"/>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29</Pages>
  <Words>16234</Words>
  <Characters>17788</Characters>
  <Lines>140</Lines>
  <Paragraphs>39</Paragraphs>
  <TotalTime>176</TotalTime>
  <ScaleCrop>false</ScaleCrop>
  <LinksUpToDate>false</LinksUpToDate>
  <CharactersWithSpaces>19007</CharactersWithSpaces>
  <Application>WPS Office_11.1.0.12302_F1E327BC-269C-435d-A152-05C5408002CA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2021-12-28T05:33:00Z</dcterms:created>
  <dc:creator>PC</dc:creator>
  <cp:lastModifiedBy>Administrator</cp:lastModifiedBy>
  <cp:lastPrinted>2022-08-10T07:22:00Z</cp:lastPrinted>
  <dcterms:modified xsi:type="dcterms:W3CDTF">2022-08-11T02:17:01Z</dcterms:modified>
  <cp:revision>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2052-11.1.0.12302</vt:lpwstr>
  </property>
  <property fmtid="{D5CDD505-2E9C-101B-9397-08002B2CF9AE}" pid="3" name="ICV">
    <vt:lpwstr>08172818A66C4B119672CA19F85EA8C3</vt:lpwstr>
  </property>
</Properties>
</file>